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4"/>
        </w:rPr>
        <w:t>Verificación de lectura</w:t>
      </w:r>
    </w:p>
    <w:p>
      <w:pPr>
        <w:jc w:val="center"/>
      </w:pPr>
      <w:r>
        <w:rPr>
          <w:b/>
          <w:color w:val="0F6B78"/>
          <w:sz w:val="26"/>
        </w:rPr>
        <w:t>Texto 1 — “Axolotl”, de Julio Cortázar</w:t>
      </w:r>
    </w:p>
    <w:p>
      <w:pPr>
        <w:jc w:val="center"/>
      </w:pPr>
      <w:r>
        <w:rPr>
          <w:i/>
          <w:color w:val="555555"/>
          <w:sz w:val="19"/>
        </w:rPr>
        <w:t>Atividade de compreensão e interpretação textual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100"/>
        <w:gridCol w:w="5100"/>
      </w:tblGrid>
      <w:tr>
        <w:tc>
          <w:tcPr>
            <w:tcW w:type="dxa" w:w="1814"/>
            <w:shd w:fill="D9EAF7"/>
            <w:vAlign w:val="center"/>
          </w:tcPr>
          <w:p>
            <w:r/>
            <w:r>
              <w:rPr>
                <w:b/>
                <w:color w:val="1F4E79"/>
                <w:sz w:val="20"/>
              </w:rPr>
              <w:t>Nombre: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20"/>
              </w:rPr>
              <w:t>______________________________________________</w:t>
            </w:r>
          </w:p>
        </w:tc>
      </w:tr>
      <w:tr>
        <w:tc>
          <w:tcPr>
            <w:tcW w:type="dxa" w:w="1814"/>
            <w:shd w:fill="D9EAF7"/>
            <w:vAlign w:val="center"/>
          </w:tcPr>
          <w:p>
            <w:r/>
            <w:r>
              <w:rPr>
                <w:b/>
                <w:color w:val="1F4E79"/>
                <w:sz w:val="20"/>
              </w:rPr>
              <w:t>Curso / grupo: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20"/>
              </w:rPr>
              <w:t>_______________________    Fecha: ____ / ____ / 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9CC3D5"/>
          <w:left w:val="single" w:sz="8" w:space="0" w:color="9CC3D5"/>
          <w:bottom w:val="single" w:sz="8" w:space="0" w:color="9CC3D5"/>
          <w:right w:val="single" w:sz="8" w:space="0" w:color="9CC3D5"/>
          <w:insideH w:val="single" w:sz="8" w:space="0" w:color="9CC3D5"/>
          <w:insideV w:val="single" w:sz="8" w:space="0" w:color="9CC3D5"/>
        </w:tblBorders>
      </w:tblPr>
      <w:tblGrid>
        <w:gridCol w:w="10200"/>
      </w:tblGrid>
      <w:tr>
        <w:tc>
          <w:tcPr>
            <w:tcW w:type="dxa" w:w="10200"/>
            <w:shd w:fill="DDEFF0"/>
          </w:tcPr>
          <w:p>
            <w:pPr>
              <w:pStyle w:val="InstructionBox"/>
              <w:spacing w:after="40"/>
            </w:pPr>
            <w:r/>
            <w:r>
              <w:rPr>
                <w:i/>
                <w:sz w:val="20"/>
              </w:rPr>
              <w:t>Responde las preguntas discursivas con frases completas. En las respuestas, retoma elementos del cuento siempre que sea necesario.</w:t>
            </w:r>
          </w:p>
          <w:p>
            <w:pPr>
              <w:pStyle w:val="InstructionBox"/>
              <w:spacing w:after="40"/>
            </w:pPr>
            <w:r>
              <w:rPr>
                <w:i/>
                <w:sz w:val="20"/>
              </w:rPr>
              <w:t>Las preguntas están organizadas en orden progresivo de dificultad: empiezan por comprensión literal y avanzan hacia interpretación y análisis.</w:t>
            </w:r>
          </w:p>
          <w:p>
            <w:pPr>
              <w:pStyle w:val="InstructionBox"/>
              <w:spacing w:after="40"/>
            </w:pPr>
            <w:r>
              <w:rPr>
                <w:i/>
                <w:sz w:val="20"/>
              </w:rPr>
              <w:t>Después de las preguntas discursivas, responde las preguntas objetivas marcando solo una alternativa correcta.</w:t>
            </w:r>
          </w:p>
        </w:tc>
      </w:tr>
    </w:tbl>
    <w:p/>
    <w:p>
      <w:pPr>
        <w:pStyle w:val="Heading1"/>
      </w:pPr>
      <w:r>
        <w:t>Parte I — Preguntas discursivas</w:t>
      </w:r>
    </w:p>
    <w:p>
      <w:pPr>
        <w:spacing w:before="80" w:after="40"/>
        <w:ind w:left="0"/>
      </w:pPr>
      <w:r>
        <w:rPr>
          <w:b/>
          <w:color w:val="1F4E79"/>
        </w:rPr>
        <w:t xml:space="preserve">1. </w:t>
      </w:r>
      <w:r>
        <w:rPr>
          <w:sz w:val="21"/>
        </w:rPr>
        <w:t>¿Dónde se encuentra el narrador con los axolotl y qué hacía en ese lugar?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2. </w:t>
      </w:r>
      <w:r>
        <w:rPr>
          <w:sz w:val="21"/>
        </w:rPr>
        <w:t>¿Qué información busca el narrador en la biblioteca Saint-Geneviève y qué descubre sobre los axolotl?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3. </w:t>
      </w:r>
      <w:r>
        <w:rPr>
          <w:sz w:val="21"/>
        </w:rPr>
        <w:t>¿Cómo describe el narrador el cuerpo de los axolotl? Menciona al menos tres características presentes en el texto.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4. </w:t>
      </w:r>
      <w:r>
        <w:rPr>
          <w:sz w:val="21"/>
        </w:rPr>
        <w:t>¿Cómo cambia la rutina del narrador después del primer encuentro con los axolotl?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5. </w:t>
      </w:r>
      <w:r>
        <w:rPr>
          <w:sz w:val="21"/>
        </w:rPr>
        <w:t>¿Por qué los ojos de los axolotl llaman tanto la atención del narrador?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6. </w:t>
      </w:r>
      <w:r>
        <w:rPr>
          <w:sz w:val="21"/>
        </w:rPr>
        <w:t>El narrador afirma que los axolotl “no eran animales”. Explica qué puede significar esa afirmación dentro del cuento.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7. </w:t>
      </w:r>
      <w:r>
        <w:rPr>
          <w:sz w:val="21"/>
        </w:rPr>
        <w:t>¿Cómo se construye, a lo largo del texto, el vínculo entre el narrador y los axolotl?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8. </w:t>
      </w:r>
      <w:r>
        <w:rPr>
          <w:sz w:val="21"/>
        </w:rPr>
        <w:t>¿Cuál es el cambio central que ocurre en la narración y cómo se presenta?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9. </w:t>
      </w:r>
      <w:r>
        <w:rPr>
          <w:sz w:val="21"/>
        </w:rPr>
        <w:t>Después de ese cambio, ¿qué conserva el narrador y qué pierde en relación con su vida anterior?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before="80" w:after="40"/>
        <w:ind w:left="0"/>
      </w:pPr>
      <w:r>
        <w:rPr>
          <w:b/>
          <w:color w:val="1F4E79"/>
        </w:rPr>
        <w:t xml:space="preserve">10. </w:t>
      </w:r>
      <w:r>
        <w:rPr>
          <w:sz w:val="21"/>
        </w:rPr>
        <w:t>¿Por qué el cuento puede ser considerado una narrativa fantástica? Justifica tu respuesta con elementos del texto.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Parte II — Preguntas objetivas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9CC3D5"/>
          <w:left w:val="single" w:sz="8" w:space="0" w:color="9CC3D5"/>
          <w:bottom w:val="single" w:sz="8" w:space="0" w:color="9CC3D5"/>
          <w:right w:val="single" w:sz="8" w:space="0" w:color="9CC3D5"/>
          <w:insideH w:val="single" w:sz="8" w:space="0" w:color="9CC3D5"/>
          <w:insideV w:val="single" w:sz="8" w:space="0" w:color="9CC3D5"/>
        </w:tblBorders>
      </w:tblPr>
      <w:tblGrid>
        <w:gridCol w:w="10200"/>
      </w:tblGrid>
      <w:tr>
        <w:tc>
          <w:tcPr>
            <w:tcW w:type="dxa" w:w="10200"/>
            <w:shd w:fill="DDEFF0"/>
          </w:tcPr>
          <w:p>
            <w:pPr>
              <w:pStyle w:val="InstructionBox"/>
              <w:spacing w:after="40"/>
            </w:pPr>
            <w:r/>
            <w:r>
              <w:rPr>
                <w:i/>
                <w:sz w:val="20"/>
              </w:rPr>
              <w:t>Marca la alternativa correcta. Cada pregunta tiene solo una respuesta.</w:t>
            </w:r>
          </w:p>
        </w:tc>
      </w:tr>
    </w:tbl>
    <w:p/>
    <w:p>
      <w:pPr>
        <w:spacing w:before="60" w:after="0" w:line="240" w:lineRule="auto"/>
      </w:pPr>
      <w:r>
        <w:rPr>
          <w:b/>
          <w:color w:val="1F4E79"/>
          <w:sz w:val="19"/>
        </w:rPr>
        <w:t xml:space="preserve">1. </w:t>
      </w:r>
      <w:r>
        <w:rPr>
          <w:sz w:val="19"/>
        </w:rPr>
        <w:t>Antes de entrar al edificio de los acuarios, ¿qué animales menciona el narrador?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A) </w:t>
      </w:r>
      <w:r>
        <w:rPr>
          <w:sz w:val="18"/>
        </w:rPr>
        <w:t>Pájaros y tortugas.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B) </w:t>
      </w:r>
      <w:r>
        <w:rPr>
          <w:sz w:val="18"/>
        </w:rPr>
        <w:t>Peces tropicales y serpientes.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C) </w:t>
      </w:r>
      <w:r>
        <w:rPr>
          <w:sz w:val="18"/>
        </w:rPr>
        <w:t>Leones y panteras.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D) </w:t>
      </w:r>
      <w:r>
        <w:rPr>
          <w:sz w:val="18"/>
        </w:rPr>
        <w:t>Caballos y perros.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E) </w:t>
      </w:r>
      <w:r>
        <w:rPr>
          <w:sz w:val="18"/>
        </w:rPr>
        <w:t>Monos y elefantes.</w:t>
      </w:r>
    </w:p>
    <w:p>
      <w:pPr>
        <w:spacing w:before="60" w:after="0" w:line="240" w:lineRule="auto"/>
      </w:pPr>
      <w:r>
        <w:rPr>
          <w:b/>
          <w:color w:val="1F4E79"/>
          <w:sz w:val="19"/>
        </w:rPr>
        <w:t xml:space="preserve">2. </w:t>
      </w:r>
      <w:r>
        <w:rPr>
          <w:sz w:val="19"/>
        </w:rPr>
        <w:t>¿Qué consulta el narrador en la biblioteca Saint-Geneviève?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A) </w:t>
      </w:r>
      <w:r>
        <w:rPr>
          <w:sz w:val="18"/>
        </w:rPr>
        <w:t>Un diccionario.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B) </w:t>
      </w:r>
      <w:r>
        <w:rPr>
          <w:sz w:val="18"/>
        </w:rPr>
        <w:t>Un mapa de París.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C) </w:t>
      </w:r>
      <w:r>
        <w:rPr>
          <w:sz w:val="18"/>
        </w:rPr>
        <w:t>Una novela mexicana.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D) </w:t>
      </w:r>
      <w:r>
        <w:rPr>
          <w:sz w:val="18"/>
        </w:rPr>
        <w:t>Un periódico antiguo.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E) </w:t>
      </w:r>
      <w:r>
        <w:rPr>
          <w:sz w:val="18"/>
        </w:rPr>
        <w:t>Un catálogo del acuario.</w:t>
      </w:r>
    </w:p>
    <w:p>
      <w:pPr>
        <w:spacing w:before="60" w:after="0" w:line="240" w:lineRule="auto"/>
      </w:pPr>
      <w:r>
        <w:rPr>
          <w:b/>
          <w:color w:val="1F4E79"/>
          <w:sz w:val="19"/>
        </w:rPr>
        <w:t xml:space="preserve">3. </w:t>
      </w:r>
      <w:r>
        <w:rPr>
          <w:sz w:val="19"/>
        </w:rPr>
        <w:t>Según el texto, ¿cuántos axolotl había en el acuario?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A) </w:t>
      </w:r>
      <w:r>
        <w:rPr>
          <w:sz w:val="18"/>
        </w:rPr>
        <w:t>Tres.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B) </w:t>
      </w:r>
      <w:r>
        <w:rPr>
          <w:sz w:val="18"/>
        </w:rPr>
        <w:t>Cinco.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C) </w:t>
      </w:r>
      <w:r>
        <w:rPr>
          <w:sz w:val="18"/>
        </w:rPr>
        <w:t>Seis.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D) </w:t>
      </w:r>
      <w:r>
        <w:rPr>
          <w:sz w:val="18"/>
        </w:rPr>
        <w:t>Ocho.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E) </w:t>
      </w:r>
      <w:r>
        <w:rPr>
          <w:sz w:val="18"/>
        </w:rPr>
        <w:t>Nueve.</w:t>
      </w:r>
    </w:p>
    <w:p>
      <w:pPr>
        <w:spacing w:before="60" w:after="0" w:line="240" w:lineRule="auto"/>
      </w:pPr>
      <w:r>
        <w:rPr>
          <w:b/>
          <w:color w:val="1F4E79"/>
          <w:sz w:val="19"/>
        </w:rPr>
        <w:t xml:space="preserve">4. </w:t>
      </w:r>
      <w:r>
        <w:rPr>
          <w:sz w:val="19"/>
        </w:rPr>
        <w:t>¿Qué frase le dice el guardián al narrador?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A) </w:t>
      </w:r>
      <w:r>
        <w:rPr>
          <w:sz w:val="18"/>
        </w:rPr>
        <w:t>“No se acerque tanto al vidrio”.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B) </w:t>
      </w:r>
      <w:r>
        <w:rPr>
          <w:sz w:val="18"/>
        </w:rPr>
        <w:t>“Usted se los come con los ojos”.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C) </w:t>
      </w:r>
      <w:r>
        <w:rPr>
          <w:sz w:val="18"/>
        </w:rPr>
        <w:t>“Los axolotl duermen durante el día”.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D) </w:t>
      </w:r>
      <w:r>
        <w:rPr>
          <w:sz w:val="18"/>
        </w:rPr>
        <w:t>“Está prohibido tocar el cristal”.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E) </w:t>
      </w:r>
      <w:r>
        <w:rPr>
          <w:sz w:val="18"/>
        </w:rPr>
        <w:t>“Vuelva mañana por la tarde”.</w:t>
      </w:r>
    </w:p>
    <w:p>
      <w:pPr>
        <w:spacing w:before="60" w:after="0" w:line="240" w:lineRule="auto"/>
      </w:pPr>
      <w:r>
        <w:rPr>
          <w:b/>
          <w:color w:val="1F4E79"/>
          <w:sz w:val="19"/>
        </w:rPr>
        <w:t xml:space="preserve">5. </w:t>
      </w:r>
      <w:r>
        <w:rPr>
          <w:sz w:val="19"/>
        </w:rPr>
        <w:t>¿Qué elemento separa físicamente al narrador de los axolotl?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A) </w:t>
      </w:r>
      <w:r>
        <w:rPr>
          <w:sz w:val="18"/>
        </w:rPr>
        <w:t>La puerta del edificio.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B) </w:t>
      </w:r>
      <w:r>
        <w:rPr>
          <w:sz w:val="18"/>
        </w:rPr>
        <w:t>La barra de hierro.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C) </w:t>
      </w:r>
      <w:r>
        <w:rPr>
          <w:sz w:val="18"/>
        </w:rPr>
        <w:t>El musgo del acuario.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D) </w:t>
      </w:r>
      <w:r>
        <w:rPr>
          <w:sz w:val="18"/>
        </w:rPr>
        <w:t>El vidrio del acuario.</w:t>
      </w:r>
    </w:p>
    <w:p>
      <w:pPr>
        <w:spacing w:after="0" w:before="0" w:line="240" w:lineRule="auto"/>
        <w:ind w:left="283"/>
      </w:pPr>
      <w:r>
        <w:rPr>
          <w:b/>
          <w:color w:val="0F6B78"/>
          <w:sz w:val="18"/>
        </w:rPr>
        <w:t xml:space="preserve">E) </w:t>
      </w:r>
      <w:r>
        <w:rPr>
          <w:sz w:val="18"/>
        </w:rPr>
        <w:t>El cartel del acuario.</w:t>
      </w:r>
    </w:p>
    <w:p>
      <w:r>
        <w:br w:type="page"/>
      </w:r>
    </w:p>
    <w:p>
      <w:pPr>
        <w:pStyle w:val="Heading1"/>
        <w:jc w:val="left"/>
      </w:pPr>
      <w:r>
        <w:t>Gabarito e respostas esperadas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9CC3D5"/>
          <w:left w:val="single" w:sz="8" w:space="0" w:color="9CC3D5"/>
          <w:bottom w:val="single" w:sz="8" w:space="0" w:color="9CC3D5"/>
          <w:right w:val="single" w:sz="8" w:space="0" w:color="9CC3D5"/>
          <w:insideH w:val="single" w:sz="8" w:space="0" w:color="9CC3D5"/>
          <w:insideV w:val="single" w:sz="8" w:space="0" w:color="9CC3D5"/>
        </w:tblBorders>
      </w:tblPr>
      <w:tblGrid>
        <w:gridCol w:w="10200"/>
      </w:tblGrid>
      <w:tr>
        <w:tc>
          <w:tcPr>
            <w:tcW w:type="dxa" w:w="10200"/>
            <w:shd w:fill="DDEFF0"/>
          </w:tcPr>
          <w:p>
            <w:pPr>
              <w:pStyle w:val="InstructionBox"/>
              <w:spacing w:after="40"/>
            </w:pPr>
            <w:r/>
            <w:r>
              <w:rPr>
                <w:i/>
                <w:sz w:val="20"/>
              </w:rPr>
              <w:t>Seção destinada ao uso docente. As respostas discursivas são sugestões de expectativa de resposta; formulações equivalentes devem ser aceitas quando estiverem coerentes com o texto.</w:t>
            </w:r>
          </w:p>
        </w:tc>
      </w:tr>
    </w:tbl>
    <w:p/>
    <w:p>
      <w:pPr>
        <w:pStyle w:val="Heading2"/>
      </w:pPr>
      <w:r>
        <w:t>Questões discursivas</w:t>
      </w:r>
    </w:p>
    <w:p>
      <w:pPr>
        <w:spacing w:after="60"/>
      </w:pPr>
      <w:r>
        <w:rPr>
          <w:b/>
          <w:color w:val="1F4E79"/>
        </w:rPr>
        <w:t xml:space="preserve">1. </w:t>
      </w:r>
      <w:r>
        <w:t>O narrador os encontra no aquário do Jardin des Plantes, em Paris, quando decide visitar o edifício dos aquários e passa a observá-los com atenção.</w:t>
      </w:r>
    </w:p>
    <w:p>
      <w:pPr>
        <w:spacing w:after="60"/>
      </w:pPr>
      <w:r>
        <w:rPr>
          <w:b/>
          <w:color w:val="1F4E79"/>
        </w:rPr>
        <w:t xml:space="preserve">2. </w:t>
      </w:r>
      <w:r>
        <w:t>Ele consulta um dicionário e descobre que os axolotl são formas larvais de batráquios do gênero amblistoma, associados ao México, chamados também de ajolotes, entre outras informações.</w:t>
      </w:r>
    </w:p>
    <w:p>
      <w:pPr>
        <w:spacing w:after="60"/>
      </w:pPr>
      <w:r>
        <w:rPr>
          <w:b/>
          <w:color w:val="1F4E79"/>
        </w:rPr>
        <w:t xml:space="preserve">3. </w:t>
      </w:r>
      <w:r>
        <w:t>Espera-se que o aluno mencione características como corpo rosado e translúcido, aparência de pequeno lagarto, cauda de peixe, aleta transparente, patas finas, dedos minúsculos, olhos de ouro e brânquias como ramificações vermelhas.</w:t>
      </w:r>
    </w:p>
    <w:p>
      <w:pPr>
        <w:spacing w:after="60"/>
      </w:pPr>
      <w:r>
        <w:rPr>
          <w:b/>
          <w:color w:val="1F4E79"/>
        </w:rPr>
        <w:t xml:space="preserve">4. </w:t>
      </w:r>
      <w:r>
        <w:t>Ele começa a voltar todos os dias ao aquário, às vezes de manhã e à tarde, demonstrando uma fixação crescente pelos axolotl.</w:t>
      </w:r>
    </w:p>
    <w:p>
      <w:pPr>
        <w:spacing w:after="60"/>
      </w:pPr>
      <w:r>
        <w:rPr>
          <w:b/>
          <w:color w:val="1F4E79"/>
        </w:rPr>
        <w:t xml:space="preserve">5. </w:t>
      </w:r>
      <w:r>
        <w:t>Porque os olhos parecem expressar uma vida diferente, uma profundidade misteriosa e uma forma de olhar que o narrador interpreta como consciente e inquietante.</w:t>
      </w:r>
    </w:p>
    <w:p>
      <w:pPr>
        <w:spacing w:after="60"/>
      </w:pPr>
      <w:r>
        <w:rPr>
          <w:b/>
          <w:color w:val="1F4E79"/>
        </w:rPr>
        <w:t xml:space="preserve">6. </w:t>
      </w:r>
      <w:r>
        <w:t>A frase indica que o narrador projeta neles uma espécie de consciência, humanidade ou mistério que ultrapassa a categoria comum de animal.</w:t>
      </w:r>
    </w:p>
    <w:p>
      <w:pPr>
        <w:spacing w:after="60"/>
      </w:pPr>
      <w:r>
        <w:rPr>
          <w:b/>
          <w:color w:val="1F4E79"/>
        </w:rPr>
        <w:t xml:space="preserve">7. </w:t>
      </w:r>
      <w:r>
        <w:t>O vínculo é construído pela repetição das visitas, pela observação insistente, pela identificação do narrador com eles e pela sensação de que existe uma comunicação silenciosa através da mirada.</w:t>
      </w:r>
    </w:p>
    <w:p>
      <w:pPr>
        <w:spacing w:after="60"/>
      </w:pPr>
      <w:r>
        <w:rPr>
          <w:b/>
          <w:color w:val="1F4E79"/>
        </w:rPr>
        <w:t xml:space="preserve">8. </w:t>
      </w:r>
      <w:r>
        <w:t>Ocorre a passagem de perspectiva: o narrador percebe-se dentro do acuario, como axolotl, vendo sua antiga face do outro lado do vidro. A mudança é narrada sem grande transição, como algo estranho e ao mesmo tempo inevitável.</w:t>
      </w:r>
    </w:p>
    <w:p>
      <w:pPr>
        <w:spacing w:after="60"/>
      </w:pPr>
      <w:r>
        <w:rPr>
          <w:b/>
          <w:color w:val="1F4E79"/>
        </w:rPr>
        <w:t xml:space="preserve">9. </w:t>
      </w:r>
      <w:r>
        <w:t>Ele conserva a consciência e a capacidade de pensar como antes, mas perde o corpo humano, a fala, a liberdade de movimento e a possibilidade de comunicação direta.</w:t>
      </w:r>
    </w:p>
    <w:p>
      <w:pPr>
        <w:spacing w:after="60"/>
      </w:pPr>
      <w:r>
        <w:rPr>
          <w:b/>
          <w:color w:val="1F4E79"/>
        </w:rPr>
        <w:t xml:space="preserve">10. </w:t>
      </w:r>
      <w:r>
        <w:t>É fantástico porque parte de um cenário cotidiano e realista, mas introduz um acontecimento impossível ou inexplicável: a transformação/transferência de consciência entre o narrador e o axolotl.</w:t>
      </w:r>
    </w:p>
    <w:p>
      <w:pPr>
        <w:pStyle w:val="Heading2"/>
      </w:pPr>
      <w:r>
        <w:t>Questões objetivas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9CC3D5"/>
          <w:left w:val="single" w:sz="8" w:space="0" w:color="9CC3D5"/>
          <w:bottom w:val="single" w:sz="8" w:space="0" w:color="9CC3D5"/>
          <w:right w:val="single" w:sz="8" w:space="0" w:color="9CC3D5"/>
          <w:insideH w:val="single" w:sz="8" w:space="0" w:color="9CC3D5"/>
          <w:insideV w:val="single" w:sz="8" w:space="0" w:color="9CC3D5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Q1</w:t>
            </w:r>
          </w:p>
        </w:tc>
        <w:tc>
          <w:tcPr>
            <w:tcW w:type="dxa" w:w="2040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Q2</w:t>
            </w:r>
          </w:p>
        </w:tc>
        <w:tc>
          <w:tcPr>
            <w:tcW w:type="dxa" w:w="2040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Q3</w:t>
            </w:r>
          </w:p>
        </w:tc>
        <w:tc>
          <w:tcPr>
            <w:tcW w:type="dxa" w:w="2040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Q4</w:t>
            </w:r>
          </w:p>
        </w:tc>
        <w:tc>
          <w:tcPr>
            <w:tcW w:type="dxa" w:w="2040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Q5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/>
            <w:r>
              <w:rPr>
                <w:b/>
                <w:color w:val="0F6B78"/>
                <w:sz w:val="24"/>
              </w:rPr>
              <w:t>C</w:t>
            </w:r>
          </w:p>
        </w:tc>
        <w:tc>
          <w:tcPr>
            <w:tcW w:type="dxa" w:w="2040"/>
          </w:tcPr>
          <w:p>
            <w:pPr>
              <w:jc w:val="center"/>
            </w:pPr>
            <w:r/>
            <w:r>
              <w:rPr>
                <w:b/>
                <w:color w:val="0F6B78"/>
                <w:sz w:val="24"/>
              </w:rPr>
              <w:t>A</w:t>
            </w:r>
          </w:p>
        </w:tc>
        <w:tc>
          <w:tcPr>
            <w:tcW w:type="dxa" w:w="2040"/>
          </w:tcPr>
          <w:p>
            <w:pPr>
              <w:jc w:val="center"/>
            </w:pPr>
            <w:r/>
            <w:r>
              <w:rPr>
                <w:b/>
                <w:color w:val="0F6B78"/>
                <w:sz w:val="24"/>
              </w:rPr>
              <w:t>E</w:t>
            </w:r>
          </w:p>
        </w:tc>
        <w:tc>
          <w:tcPr>
            <w:tcW w:type="dxa" w:w="2040"/>
          </w:tcPr>
          <w:p>
            <w:pPr>
              <w:jc w:val="center"/>
            </w:pPr>
            <w:r/>
            <w:r>
              <w:rPr>
                <w:b/>
                <w:color w:val="0F6B78"/>
                <w:sz w:val="24"/>
              </w:rPr>
              <w:t>B</w:t>
            </w:r>
          </w:p>
        </w:tc>
        <w:tc>
          <w:tcPr>
            <w:tcW w:type="dxa" w:w="2040"/>
          </w:tcPr>
          <w:p>
            <w:pPr>
              <w:jc w:val="center"/>
            </w:pPr>
            <w:r/>
            <w:r>
              <w:rPr>
                <w:b/>
                <w:color w:val="0F6B78"/>
                <w:sz w:val="24"/>
              </w:rPr>
              <w:t>D</w:t>
            </w:r>
          </w:p>
        </w:tc>
      </w:tr>
    </w:tbl>
    <w:p>
      <w:pPr>
        <w:jc w:val="center"/>
      </w:pPr>
      <w:r>
        <w:rPr>
          <w:i/>
          <w:color w:val="555555"/>
          <w:sz w:val="18"/>
        </w:rPr>
        <w:t>Sequência do gabarito: C, A, E, B, D. Não há repetição de letras consecutivas nem padrão linear previsível.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 xml:space="preserve">Língua Espanhola | Julio Cortázar |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6666"/>
        <w:sz w:val="17"/>
      </w:rPr>
      <w:t>Verificación de lectura — Axolotl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F6B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1F1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Box">
    <w:name w:val="InstructionBox"/>
    <w:rPr>
      <w:rFonts w:ascii="Calibri" w:hAnsi="Calibri" w:eastAsia="Calibri"/>
      <w:i/>
      <w:color w:val="1F1F1F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