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7A78"/>
          <w:sz w:val="20"/>
        </w:rPr>
        <w:t>Ñ Conecta · HispanoQuest</w:t>
      </w:r>
    </w:p>
    <w:p>
      <w:pPr>
        <w:spacing w:after="40"/>
      </w:pPr>
      <w:r>
        <w:rPr>
          <w:b/>
          <w:color w:val="1B2A4A"/>
          <w:sz w:val="52"/>
        </w:rPr>
        <w:t>Bloco 1 — Proyectos de Vida y Futuro</w:t>
      </w:r>
    </w:p>
    <w:p>
      <w:pPr>
        <w:spacing w:after="200"/>
      </w:pPr>
      <w:r>
        <w:rPr>
          <w:i/>
          <w:color w:val="D1543C"/>
          <w:sz w:val="28"/>
        </w:rPr>
        <w:t>¿Cómo imaginas tu vida después del colegio?</w:t>
      </w:r>
    </w:p>
    <w:p>
      <w:pPr>
        <w:spacing w:after="200"/>
      </w:pPr>
      <w:r>
        <w:rPr>
          <w:i w:val="0"/>
          <w:color w:val="555F66"/>
          <w:sz w:val="20"/>
        </w:rPr>
        <w:t>Material teórico de apoio · 3ª série EM · Língua Espanhola · 2 semanas / 4 aulas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76000" cy="33632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mi_testimonio_mi_futur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3632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55F66"/>
          <w:sz w:val="17"/>
        </w:rPr>
        <w:t>Produção final do bloco: um testimonio pessoal sobre projetos de futuro.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BEAE5"/>
          </w:tcPr>
          <w:p>
            <w:pPr>
              <w:spacing w:after="60"/>
            </w:pPr>
            <w:r/>
            <w:r>
              <w:rPr>
                <w:b/>
                <w:color w:val="D1543C"/>
                <w:sz w:val="18"/>
              </w:rPr>
              <w:t>O QUE ESTE MATERIAL É</w:t>
            </w:r>
          </w:p>
          <w:p>
            <w:pPr>
              <w:spacing w:after="40"/>
            </w:pPr>
            <w:r>
              <w:rPr>
                <w:sz w:val="20"/>
              </w:rPr>
              <w:t>Um apoio de consulta permanente para o estudante e um roteiro de decisões para a professora.</w:t>
            </w:r>
          </w:p>
          <w:p>
            <w:pPr>
              <w:spacing w:after="40"/>
            </w:pPr>
            <w:r>
              <w:rPr>
                <w:sz w:val="20"/>
              </w:rPr>
              <w:t>Tudo o que está aqui existe para tornar possível uma única produção: o testimonio final.</w:t>
            </w:r>
          </w:p>
        </w:tc>
      </w:tr>
    </w:tbl>
    <w:p>
      <w:pPr>
        <w:spacing w:after="40"/>
      </w:pPr>
    </w:p>
    <w:p>
      <w:pPr>
        <w:spacing w:before="360" w:after="80"/>
      </w:pPr>
      <w:r>
        <w:rPr>
          <w:b/>
          <w:color w:val="1F7A78"/>
          <w:sz w:val="30"/>
        </w:rPr>
        <w:t xml:space="preserve">1  </w:t>
      </w:r>
      <w:r>
        <w:rPr>
          <w:b/>
          <w:color w:val="1B2A4A"/>
          <w:sz w:val="30"/>
        </w:rPr>
        <w:t>Intenção pedagógica do bloco</w:t>
      </w:r>
    </w:p>
    <w:p>
      <w:pPr>
        <w:spacing w:after="120"/>
      </w:pPr>
      <w:r>
        <w:rPr>
          <w:i w:val="0"/>
          <w:sz w:val="22"/>
        </w:rPr>
        <w:t>Este bloco organiza o estudo do futuro em espanhol a partir de uma situação comunicativa concreta: ler e produzir um testemunho/relato pessoal breve sobre projetos de vida. A gramática não entra como lista isolada; ela aparece como recurso necessário para dizer algo com finalidade, gênero e interlocutor definidos.</w:t>
      </w:r>
    </w:p>
    <w:p>
      <w:pPr>
        <w:spacing w:after="120"/>
      </w:pPr>
      <w:r>
        <w:rPr>
          <w:sz w:val="22"/>
        </w:rPr>
        <w:t xml:space="preserve">O objeto maior do bloco não é “futuro simples”. É </w:t>
      </w:r>
      <w:r>
        <w:rPr>
          <w:b/>
          <w:sz w:val="22"/>
        </w:rPr>
        <w:t>a construção discursiva de projetos e expectativas de futuro em espanhol</w:t>
      </w:r>
      <w:r>
        <w:rPr>
          <w:sz w:val="22"/>
        </w:rPr>
        <w:t>. Gênero, léxico, marcadores temporais e formas verbais são recursos mobilizados para isso — e é por isso que a sequência não pode ser lida como quatro aulas de gramática com uma redação no fim.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608"/>
            <w:shd w:val="clear" w:fill="F4F1EA"/>
          </w:tcPr>
          <w:p>
            <w:pPr>
              <w:spacing w:after="40" w:before="40"/>
            </w:pPr>
            <w:r/>
            <w:r>
              <w:rPr>
                <w:sz w:val="20"/>
              </w:rPr>
              <w:t>Pergunta condutora</w:t>
            </w:r>
          </w:p>
        </w:tc>
        <w:tc>
          <w:tcPr>
            <w:tcW w:type="dxa" w:w="6803"/>
            <w:shd w:val="clear" w:fill="F4F1EA"/>
          </w:tcPr>
          <w:p>
            <w:pPr>
              <w:spacing w:after="40" w:before="40"/>
            </w:pPr>
            <w:r/>
            <w:r>
              <w:rPr>
                <w:sz w:val="20"/>
              </w:rPr>
              <w:t>¿Cómo imaginas tu vida después del colegio?</w:t>
            </w:r>
          </w:p>
        </w:tc>
      </w:tr>
      <w:tr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sz w:val="20"/>
              </w:rPr>
              <w:t>Pergunta linguística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/>
            <w:r>
              <w:rPr>
                <w:sz w:val="20"/>
              </w:rPr>
              <w:t>Que recursos do espanhol ajudam a construir projetos, expectativas e intenções de futuro?</w:t>
            </w:r>
          </w:p>
        </w:tc>
      </w:tr>
      <w:tr>
        <w:tc>
          <w:tcPr>
            <w:tcW w:type="dxa" w:w="2608"/>
            <w:shd w:val="clear" w:fill="F4F1EA"/>
          </w:tcPr>
          <w:p>
            <w:pPr>
              <w:spacing w:after="40" w:before="40"/>
            </w:pPr>
            <w:r/>
            <w:r>
              <w:rPr>
                <w:sz w:val="20"/>
              </w:rPr>
              <w:t>Produção final</w:t>
            </w:r>
          </w:p>
        </w:tc>
        <w:tc>
          <w:tcPr>
            <w:tcW w:type="dxa" w:w="6803"/>
            <w:shd w:val="clear" w:fill="F4F1EA"/>
          </w:tcPr>
          <w:p>
            <w:pPr>
              <w:spacing w:after="40" w:before="40"/>
            </w:pPr>
            <w:r/>
            <w:r>
              <w:rPr>
                <w:sz w:val="20"/>
              </w:rPr>
              <w:t>Testimonio / relato pessoal em espanhol, 6 a 8 linhas (aprox. 120–150 palavras).</w:t>
            </w:r>
          </w:p>
        </w:tc>
      </w:tr>
      <w:tr>
        <w:tc>
          <w:tcPr>
            <w:tcW w:type="dxa" w:w="2608"/>
          </w:tcPr>
          <w:p>
            <w:pPr>
              <w:spacing w:after="40" w:before="40"/>
            </w:pPr>
            <w:r/>
            <w:r>
              <w:rPr>
                <w:sz w:val="20"/>
              </w:rPr>
              <w:t>Evidência de aprendizagem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/>
            <w:r>
              <w:rPr>
                <w:sz w:val="20"/>
              </w:rPr>
              <w:t>O texto funciona como relato pessoal, situa os projetos no tempo e faz escolhas verbais coerentes.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i/>
          <w:color w:val="555F66"/>
          <w:sz w:val="18"/>
        </w:rPr>
        <w:t>BNCC · Linguagens e suas Tecnologias: EM13LGG401 (a língua como fenômeno variável e sensível aos contextos de uso) e EM13LGG402 (empregar a variedade e o estilo adequados à situação, ao interlocutor e ao gênero). [VALIDAR CÓDIGO BNCC para habilidades adicionais que a coordenação queira incluir.]</w:t>
      </w:r>
    </w:p>
    <w:p>
      <w:pPr>
        <w:spacing w:before="360" w:after="80"/>
      </w:pPr>
      <w:r>
        <w:rPr>
          <w:b/>
          <w:color w:val="1F7A78"/>
          <w:sz w:val="30"/>
        </w:rPr>
        <w:t xml:space="preserve">2  </w:t>
      </w:r>
      <w:r>
        <w:rPr>
          <w:b/>
          <w:color w:val="1B2A4A"/>
          <w:sz w:val="30"/>
        </w:rPr>
        <w:t>Objetos de aprendizagem e função no bloco</w:t>
      </w:r>
    </w:p>
    <w:p>
      <w:pPr>
        <w:spacing w:after="120"/>
      </w:pPr>
      <w:r>
        <w:rPr>
          <w:i w:val="0"/>
          <w:color w:val="555F66"/>
          <w:sz w:val="20"/>
        </w:rPr>
        <w:t>Cada objeto entra porque o estudante precisa dele para compreender ou produzir o gênero — e não porque precisa “aparecer” no bloco.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041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8"/>
              </w:rPr>
              <w:t>Objeto</w:t>
            </w:r>
          </w:p>
        </w:tc>
        <w:tc>
          <w:tcPr>
            <w:tcW w:type="dxa" w:w="2494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8"/>
              </w:rPr>
              <w:t>Entrada coerente</w:t>
            </w:r>
          </w:p>
        </w:tc>
        <w:tc>
          <w:tcPr>
            <w:tcW w:type="dxa" w:w="2494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8"/>
              </w:rPr>
              <w:t>Ação do estudante</w:t>
            </w:r>
          </w:p>
        </w:tc>
        <w:tc>
          <w:tcPr>
            <w:tcW w:type="dxa" w:w="2381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8"/>
              </w:rPr>
              <w:t>Função na produção final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sz w:val="18"/>
              </w:rPr>
              <w:t>Gênero testemunho / relato pessoal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8"/>
              </w:rPr>
              <w:t>Dois modelos curtos abrem e fecham o bloco.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8"/>
              </w:rPr>
              <w:t>Compara quem fala, de onde fala e o que projeta.</w:t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sz w:val="18"/>
              </w:rPr>
              <w:t>Define o tipo de texto que será produzido.</w:t>
            </w:r>
          </w:p>
        </w:tc>
      </w:tr>
      <w:tr>
        <w:tc>
          <w:tcPr>
            <w:tcW w:type="dxa" w:w="2041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Léxico de carreiras, formação e expectativa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Surge nos textos e depois é ampliado por campo semântico.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Organiza repertório em formação, trabalho e projetos pessoais.</w:t>
            </w:r>
          </w:p>
        </w:tc>
        <w:tc>
          <w:tcPr>
            <w:tcW w:type="dxa" w:w="2381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Dá conteúdo para escrever sem traduzir palavra a palavra.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sz w:val="18"/>
              </w:rPr>
              <w:t>Marcadores temporais de futuro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8"/>
              </w:rPr>
              <w:t>Aparecem como pistas de leitura e depois como sistema.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8"/>
              </w:rPr>
              <w:t>Ordena expressões numa linha temporal.</w:t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sz w:val="18"/>
              </w:rPr>
              <w:t>Organiza a progressão do relato.</w:t>
            </w:r>
          </w:p>
        </w:tc>
      </w:tr>
      <w:tr>
        <w:tc>
          <w:tcPr>
            <w:tcW w:type="dxa" w:w="2041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Futuro simples regular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É descoberto nos verbos dos testemunhos.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Deduz infinitivo completo + terminações.</w:t>
            </w:r>
          </w:p>
        </w:tc>
        <w:tc>
          <w:tcPr>
            <w:tcW w:type="dxa" w:w="2381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Permite expressar expectativas e projeções.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sz w:val="18"/>
              </w:rPr>
              <w:t>Irregulares de raiz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8"/>
              </w:rPr>
              <w:t>Entram depois da regra regular consolidada.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8"/>
              </w:rPr>
              <w:t>Agrupa mudanças por padrão: raiz reduzida, -dr-, raiz própria.</w:t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sz w:val="18"/>
              </w:rPr>
              <w:t>Amplia verbos frequentes: tendré, podré, haré, diré.</w:t>
            </w:r>
          </w:p>
        </w:tc>
      </w:tr>
      <w:tr>
        <w:tc>
          <w:tcPr>
            <w:tcW w:type="dxa" w:w="2041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Ir a + infinitivo × futuro simples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Entra por contraste em situações de uso.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Escolhe a forma conforme a intenção comunicativa.</w:t>
            </w:r>
          </w:p>
        </w:tc>
        <w:tc>
          <w:tcPr>
            <w:tcW w:type="dxa" w:w="2381"/>
            <w:shd w:val="clear" w:fill="F4F1EA"/>
          </w:tcPr>
          <w:p>
            <w:pPr>
              <w:spacing w:after="40" w:before="40"/>
            </w:pPr>
            <w:r/>
            <w:r>
              <w:rPr>
                <w:sz w:val="18"/>
              </w:rPr>
              <w:t>Evita tratar as duas formas como sinônimos absolutos.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80"/>
      </w:pPr>
      <w:r>
        <w:rPr>
          <w:b/>
          <w:color w:val="1F7A78"/>
          <w:sz w:val="30"/>
        </w:rPr>
        <w:t xml:space="preserve">3  </w:t>
      </w:r>
      <w:r>
        <w:rPr>
          <w:b/>
          <w:color w:val="1B2A4A"/>
          <w:sz w:val="30"/>
        </w:rPr>
        <w:t>Progressão das quatro aulas</w:t>
      </w:r>
    </w:p>
    <w:p>
      <w:pPr>
        <w:spacing w:before="240" w:after="60"/>
      </w:pPr>
      <w:r>
        <w:rPr>
          <w:b/>
          <w:color w:val="1F7A78"/>
          <w:sz w:val="24"/>
        </w:rPr>
        <w:t>Aula 1 — O gênero e o léxico</w:t>
      </w:r>
    </w:p>
    <w:p>
      <w:pPr>
        <w:spacing w:after="60"/>
      </w:pPr>
      <w:r>
        <w:rPr>
          <w:b/>
          <w:sz w:val="20"/>
        </w:rPr>
        <w:t xml:space="preserve">Pergunta da aula: </w:t>
      </w:r>
      <w:r>
        <w:rPr>
          <w:i/>
          <w:sz w:val="20"/>
        </w:rPr>
        <w:t>Tengo algo que decir antes de aprender a conjugarlo</w:t>
      </w:r>
    </w:p>
    <w:p>
      <w:pPr>
        <w:spacing w:after="60"/>
      </w:pPr>
      <w:r>
        <w:rPr>
          <w:b/>
          <w:sz w:val="20"/>
        </w:rPr>
        <w:t xml:space="preserve">Foco: </w:t>
      </w:r>
      <w:r>
        <w:rPr>
          <w:sz w:val="20"/>
        </w:rPr>
        <w:t>Leitura dos dois testemunhos; identificação do gênero; léxico de formação, carreiras e expectativas; marcadores temporais como pistas de leitura.</w:t>
      </w:r>
    </w:p>
    <w:p>
      <w:pPr>
        <w:spacing w:after="60"/>
      </w:pPr>
      <w:r>
        <w:rPr>
          <w:b/>
          <w:sz w:val="20"/>
        </w:rPr>
        <w:t xml:space="preserve">O que o estudante faz: </w:t>
      </w:r>
      <w:r>
        <w:rPr>
          <w:sz w:val="20"/>
        </w:rPr>
        <w:t>Lê, compara, destaca palavras úteis, constrói repertório e escolhe seis expressões que servem ao próprio projeto.</w:t>
      </w:r>
    </w:p>
    <w:p>
      <w:pPr>
        <w:spacing w:after="60"/>
      </w:pPr>
      <w:r>
        <w:rPr>
          <w:b/>
          <w:sz w:val="20"/>
        </w:rPr>
        <w:t xml:space="preserve">O que observar: </w:t>
      </w:r>
      <w:r>
        <w:rPr>
          <w:sz w:val="20"/>
        </w:rPr>
        <w:t>Se reconhece as características do testemunho e se separa o léxico por campo de sentido.</w:t>
      </w:r>
    </w:p>
    <w:p>
      <w:pPr>
        <w:spacing w:after="160"/>
      </w:pPr>
      <w:r>
        <w:rPr>
          <w:b/>
          <w:sz w:val="19"/>
        </w:rPr>
        <w:t xml:space="preserve">→ </w:t>
      </w:r>
      <w:r>
        <w:rPr>
          <w:i/>
          <w:sz w:val="19"/>
        </w:rPr>
        <w:t>A gramática já está nos textos, mas ainda não é explicada.</w:t>
      </w:r>
    </w:p>
    <w:p>
      <w:pPr>
        <w:spacing w:before="240" w:after="60"/>
      </w:pPr>
      <w:r>
        <w:rPr>
          <w:b/>
          <w:color w:val="1F7A78"/>
          <w:sz w:val="24"/>
        </w:rPr>
        <w:t>Aula 2 — A forma regular saindo do texto</w:t>
      </w:r>
    </w:p>
    <w:p>
      <w:pPr>
        <w:spacing w:after="60"/>
      </w:pPr>
      <w:r>
        <w:rPr>
          <w:b/>
          <w:sz w:val="20"/>
        </w:rPr>
        <w:t xml:space="preserve">Pergunta da aula: </w:t>
      </w:r>
      <w:r>
        <w:rPr>
          <w:i/>
          <w:sz w:val="20"/>
        </w:rPr>
        <w:t>Descubrir cómo el español construye esas proyecciones</w:t>
      </w:r>
    </w:p>
    <w:p>
      <w:pPr>
        <w:spacing w:after="60"/>
      </w:pPr>
      <w:r>
        <w:rPr>
          <w:b/>
          <w:sz w:val="20"/>
        </w:rPr>
        <w:t xml:space="preserve">Foco: </w:t>
      </w:r>
      <w:r>
        <w:rPr>
          <w:sz w:val="20"/>
        </w:rPr>
        <w:t>Futuro simples regular; terminação única para as três conjugações; relação entre marcador temporal e sentido.</w:t>
      </w:r>
    </w:p>
    <w:p>
      <w:pPr>
        <w:spacing w:after="60"/>
      </w:pPr>
      <w:r>
        <w:rPr>
          <w:b/>
          <w:sz w:val="20"/>
        </w:rPr>
        <w:t xml:space="preserve">O que o estudante faz: </w:t>
      </w:r>
      <w:r>
        <w:rPr>
          <w:sz w:val="20"/>
        </w:rPr>
        <w:t>Volta aos textos, sublinha as formas, deduz a regularidade e reescreve frases com outros horizontes temporais.</w:t>
      </w:r>
    </w:p>
    <w:p>
      <w:pPr>
        <w:spacing w:after="60"/>
      </w:pPr>
      <w:r>
        <w:rPr>
          <w:b/>
          <w:sz w:val="20"/>
        </w:rPr>
        <w:t xml:space="preserve">O que observar: </w:t>
      </w:r>
      <w:r>
        <w:rPr>
          <w:sz w:val="20"/>
        </w:rPr>
        <w:t>Se identifica infinitivo completo + terminação e evita criar três paradigmas separados.</w:t>
      </w:r>
    </w:p>
    <w:p>
      <w:pPr>
        <w:spacing w:after="160"/>
      </w:pPr>
      <w:r>
        <w:rPr>
          <w:b/>
          <w:sz w:val="19"/>
        </w:rPr>
        <w:t xml:space="preserve">→ </w:t>
      </w:r>
      <w:r>
        <w:rPr>
          <w:i/>
          <w:sz w:val="19"/>
        </w:rPr>
        <w:t>A descoberta é do estudante: o professor volta a frases já compreendidas e destaca as formas.</w:t>
      </w:r>
    </w:p>
    <w:p>
      <w:pPr>
        <w:spacing w:before="240" w:after="60"/>
      </w:pPr>
      <w:r>
        <w:rPr>
          <w:b/>
          <w:color w:val="1F7A78"/>
          <w:sz w:val="24"/>
        </w:rPr>
        <w:t>Aula 3 — Onde o português engana</w:t>
      </w:r>
    </w:p>
    <w:p>
      <w:pPr>
        <w:spacing w:after="60"/>
      </w:pPr>
      <w:r>
        <w:rPr>
          <w:b/>
          <w:sz w:val="20"/>
        </w:rPr>
        <w:t xml:space="preserve">Pergunta da aula: </w:t>
      </w:r>
      <w:r>
        <w:rPr>
          <w:i/>
          <w:sz w:val="20"/>
        </w:rPr>
        <w:t>¿Cómo elijo la forma que mejor expresa el futuro que quiero comunicar?</w:t>
      </w:r>
    </w:p>
    <w:p>
      <w:pPr>
        <w:spacing w:after="60"/>
      </w:pPr>
      <w:r>
        <w:rPr>
          <w:b/>
          <w:sz w:val="20"/>
        </w:rPr>
        <w:t xml:space="preserve">Foco: </w:t>
      </w:r>
      <w:r>
        <w:rPr>
          <w:sz w:val="20"/>
        </w:rPr>
        <w:t>Irregulares de raiz; contraste entre futuro simples e ir a + infinitivo como escolha discursiva situada.</w:t>
      </w:r>
    </w:p>
    <w:p>
      <w:pPr>
        <w:spacing w:after="60"/>
      </w:pPr>
      <w:r>
        <w:rPr>
          <w:b/>
          <w:sz w:val="20"/>
        </w:rPr>
        <w:t xml:space="preserve">O que o estudante faz: </w:t>
      </w:r>
      <w:r>
        <w:rPr>
          <w:sz w:val="20"/>
        </w:rPr>
        <w:t>Agrupa verbos por padrão de raiz e escolhe formas em mini-situações, justificando a escolha em voz alta.</w:t>
      </w:r>
    </w:p>
    <w:p>
      <w:pPr>
        <w:spacing w:after="60"/>
      </w:pPr>
      <w:r>
        <w:rPr>
          <w:b/>
          <w:sz w:val="20"/>
        </w:rPr>
        <w:t xml:space="preserve">O que observar: </w:t>
      </w:r>
      <w:r>
        <w:rPr>
          <w:sz w:val="20"/>
        </w:rPr>
        <w:t>Se percebe que a língua exige escolha situada, e não tradução automática do português.</w:t>
      </w:r>
    </w:p>
    <w:p>
      <w:pPr>
        <w:spacing w:after="160"/>
      </w:pPr>
      <w:r>
        <w:rPr>
          <w:b/>
          <w:sz w:val="19"/>
        </w:rPr>
        <w:t xml:space="preserve">→ </w:t>
      </w:r>
      <w:r>
        <w:rPr>
          <w:i/>
          <w:sz w:val="19"/>
        </w:rPr>
        <w:t>A discussão vale mais do que preencher a lacuna.</w:t>
      </w:r>
    </w:p>
    <w:p>
      <w:pPr>
        <w:spacing w:before="240" w:after="60"/>
      </w:pPr>
      <w:r>
        <w:rPr>
          <w:b/>
          <w:color w:val="1F7A78"/>
          <w:sz w:val="24"/>
        </w:rPr>
        <w:t>Aula 4 — Produção e avaliação</w:t>
      </w:r>
    </w:p>
    <w:p>
      <w:pPr>
        <w:spacing w:after="60"/>
      </w:pPr>
      <w:r>
        <w:rPr>
          <w:b/>
          <w:sz w:val="20"/>
        </w:rPr>
        <w:t xml:space="preserve">Pergunta da aula: </w:t>
      </w:r>
      <w:r>
        <w:rPr>
          <w:i/>
          <w:sz w:val="20"/>
        </w:rPr>
        <w:t>Todo pasa a existir dentro de un texto</w:t>
      </w:r>
    </w:p>
    <w:p>
      <w:pPr>
        <w:spacing w:after="60"/>
      </w:pPr>
      <w:r>
        <w:rPr>
          <w:b/>
          <w:sz w:val="20"/>
        </w:rPr>
        <w:t xml:space="preserve">Foco: </w:t>
      </w:r>
      <w:r>
        <w:rPr>
          <w:sz w:val="20"/>
        </w:rPr>
        <w:t>Produção do testemunho próprio; banco de aberturas sem subjuntivo obrigatório; revisão por critérios explícitos.</w:t>
      </w:r>
    </w:p>
    <w:p>
      <w:pPr>
        <w:spacing w:after="60"/>
      </w:pPr>
      <w:r>
        <w:rPr>
          <w:b/>
          <w:sz w:val="20"/>
        </w:rPr>
        <w:t xml:space="preserve">O que o estudante faz: </w:t>
      </w:r>
      <w:r>
        <w:rPr>
          <w:sz w:val="20"/>
        </w:rPr>
        <w:t>Planeja o esqueleto, escreve, revisa em dupla e entrega um testemunho curto em espanhol.</w:t>
      </w:r>
    </w:p>
    <w:p>
      <w:pPr>
        <w:spacing w:after="60"/>
      </w:pPr>
      <w:r>
        <w:rPr>
          <w:b/>
          <w:sz w:val="20"/>
        </w:rPr>
        <w:t xml:space="preserve">O que observar: </w:t>
      </w:r>
      <w:r>
        <w:rPr>
          <w:sz w:val="20"/>
        </w:rPr>
        <w:t>Se o texto funciona como testemunho e se usa léxico, marcadores e futuro com coerência.</w:t>
      </w:r>
    </w:p>
    <w:p>
      <w:pPr>
        <w:spacing w:after="160"/>
      </w:pPr>
      <w:r>
        <w:rPr>
          <w:b/>
          <w:sz w:val="19"/>
        </w:rPr>
        <w:t xml:space="preserve">→ </w:t>
      </w:r>
      <w:r>
        <w:rPr>
          <w:i/>
          <w:sz w:val="19"/>
        </w:rPr>
        <w:t>Os critérios são entregues ANTES da escrita, não depois.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E4EFEE"/>
          </w:tcPr>
          <w:p>
            <w:pPr>
              <w:spacing w:after="60"/>
            </w:pPr>
            <w:r/>
            <w:r>
              <w:rPr>
                <w:b/>
                <w:color w:val="1F7A78"/>
                <w:sz w:val="18"/>
              </w:rPr>
              <w:t>A UNIDADE DO BLOCO</w:t>
            </w:r>
          </w:p>
          <w:p>
            <w:pPr>
              <w:spacing w:after="40"/>
            </w:pPr>
            <w:r>
              <w:rPr>
                <w:sz w:val="20"/>
              </w:rPr>
              <w:t>A sequência não é: vocabulário → futuro regular → irregular → perífrase → exercício → redação.</w:t>
            </w:r>
          </w:p>
          <w:p>
            <w:pPr>
              <w:spacing w:after="40"/>
            </w:pPr>
            <w:r>
              <w:rPr>
                <w:sz w:val="20"/>
              </w:rPr>
              <w:t>É: quero falar sobre meu futuro → observo como outras pessoas fazem isso → descubro os recursos linguísticos de que preciso → comparo escolhas possíveis → uso esses recursos para produzir meu texto.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80"/>
      </w:pPr>
      <w:r>
        <w:rPr>
          <w:b/>
          <w:color w:val="1F7A78"/>
          <w:sz w:val="30"/>
        </w:rPr>
        <w:t xml:space="preserve">4  </w:t>
      </w:r>
      <w:r>
        <w:rPr>
          <w:b/>
          <w:color w:val="1B2A4A"/>
          <w:sz w:val="30"/>
        </w:rPr>
        <w:t>Os dois testemunhos do bloco</w:t>
      </w:r>
    </w:p>
    <w:p>
      <w:pPr>
        <w:spacing w:after="120"/>
      </w:pPr>
      <w:r>
        <w:rPr>
          <w:i w:val="0"/>
          <w:color w:val="555F66"/>
          <w:sz w:val="20"/>
        </w:rPr>
        <w:t>São o ponto de partida e o ponto de chegada do bloco. Foram escritos propositalmente contrastantes — universidade e curso técnico — para não instalar um único caminho legítimo após o ensino médio.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BEAE5"/>
          </w:tcPr>
          <w:p>
            <w:pPr>
              <w:spacing w:after="60"/>
            </w:pPr>
            <w:r/>
            <w:r>
              <w:rPr>
                <w:b/>
                <w:color w:val="D1543C"/>
                <w:sz w:val="18"/>
              </w:rPr>
              <w:t>PROCEDÊNCIA DOS TEXTOS</w:t>
            </w:r>
          </w:p>
          <w:p>
            <w:pPr>
              <w:spacing w:after="40"/>
            </w:pPr>
            <w:r>
              <w:rPr>
                <w:sz w:val="20"/>
              </w:rPr>
              <w:t>Os dois testimonios foram ELABORADOS PARA ESTE MATERIAL, a partir de percursos frequentes entre jovens hispano-americanos. Não são depoimentos coletados.</w:t>
            </w:r>
          </w:p>
          <w:p>
            <w:pPr>
              <w:spacing w:after="40"/>
            </w:pPr>
            <w:r>
              <w:rPr>
                <w:sz w:val="20"/>
              </w:rPr>
              <w:t>Apresente-os assim à turma. Se o objetivo da sequência exigir texto autêntico, substitua-os por relatos publicados (campanhas de universidades, revistas juvenis, sites institucionais) mantendo esta mesma estrutura de leitura.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b/>
          <w:color w:val="1F7A78"/>
          <w:sz w:val="24"/>
        </w:rPr>
        <w:t>Testimonio 1 — Camila, 17 años · Montevideo, Uruguay</w:t>
      </w:r>
    </w:p>
    <w:p>
      <w:pPr>
        <w:spacing w:after="80"/>
        <w:ind w:left="283"/>
      </w:pPr>
      <w:r>
        <w:rPr>
          <w:i/>
          <w:sz w:val="22"/>
        </w:rPr>
        <w:t>Me llamo Camila y estoy terminando el colegio. Durante años dije que iba a estudiar Medicina, pero el año pasado empecé a dar clases de apoyo a chicos del barrio y algo cambió. El año que viene voy a estudiar Enfermería. Quiero trabajar en un hospital y ayudar a personas que necesitan atención. Dentro de cinco años, tendré más experiencia y seguiré aprendiendo. Algún día tendré mi propio proyecto: un espacio de salud comunitaria en mi barrio. No sé si saldrá todo como lo pienso, pero sé para dónde quiero ir.</w:t>
      </w:r>
    </w:p>
    <w:p>
      <w:pPr>
        <w:spacing w:after="120"/>
      </w:pPr>
      <w:r>
        <w:rPr>
          <w:i w:val="0"/>
          <w:color w:val="555F66"/>
          <w:sz w:val="18"/>
        </w:rPr>
        <w:t>Glosario: el colegio = a escola de ensino médio · dar clases de apoyo = dar reforço escolar · saldrá (salir) = sairá, dará certo.</w:t>
      </w:r>
    </w:p>
    <w:p>
      <w:pPr>
        <w:spacing w:before="240" w:after="60"/>
      </w:pPr>
      <w:r>
        <w:rPr>
          <w:b/>
          <w:color w:val="1F7A78"/>
          <w:sz w:val="24"/>
        </w:rPr>
        <w:t>Testimonio 2 — Mateo, 18 años · Puebla, México</w:t>
      </w:r>
    </w:p>
    <w:p>
      <w:pPr>
        <w:spacing w:after="80"/>
        <w:ind w:left="283"/>
      </w:pPr>
      <w:r>
        <w:rPr>
          <w:i/>
          <w:sz w:val="22"/>
        </w:rPr>
        <w:t>Soy Mateo y no voy a entrar a la universidad el año que viene; no me da vergüenza decirlo. Después del colegio, haré un curso técnico y buscaré mi primer empleo. También voy a ahorrar dinero durante dos años para entrar en la universidad más adelante. En el futuro, trabajaré con tecnología y tendré mi propio proyecto, con dos o tres personas trabajando conmigo. Mi mamá dice que algún día volveré a estudiar una carrera; puede ser. Por ahora, mi plan es este y me gusta.</w:t>
      </w:r>
    </w:p>
    <w:p>
      <w:pPr>
        <w:spacing w:after="120"/>
      </w:pPr>
      <w:r>
        <w:rPr>
          <w:i w:val="0"/>
          <w:color w:val="555F66"/>
          <w:sz w:val="18"/>
        </w:rPr>
        <w:t>Glosario: buscar empleo = procurar emprego · ahorrar = poupar · una carrera = um curso superior.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E4EFEE"/>
          </w:tcPr>
          <w:p>
            <w:pPr>
              <w:spacing w:after="60"/>
            </w:pPr>
            <w:r/>
            <w:r>
              <w:rPr>
                <w:b/>
                <w:color w:val="1F7A78"/>
                <w:sz w:val="18"/>
              </w:rPr>
              <w:t>MARCAS DO GÊNERO PARA OBSERVAR COM A TURMA</w:t>
            </w:r>
          </w:p>
          <w:p>
            <w:pPr>
              <w:spacing w:after="40"/>
            </w:pPr>
            <w:r>
              <w:rPr>
                <w:sz w:val="20"/>
              </w:rPr>
              <w:t>Voz de quem fala de si: yo, mi, me, verbos em 1ª pessoa.</w:t>
            </w:r>
          </w:p>
          <w:p>
            <w:pPr>
              <w:spacing w:after="40"/>
            </w:pPr>
            <w:r>
              <w:rPr>
                <w:sz w:val="20"/>
              </w:rPr>
              <w:t>Ponto de partida situado: o texto diz de que momento da vida a pessoa fala.</w:t>
            </w:r>
          </w:p>
          <w:p>
            <w:pPr>
              <w:spacing w:after="40"/>
            </w:pPr>
            <w:r>
              <w:rPr>
                <w:sz w:val="20"/>
              </w:rPr>
              <w:t>Movimento no tempo: passado → presente → futuro.</w:t>
            </w:r>
          </w:p>
          <w:p>
            <w:pPr>
              <w:spacing w:after="40"/>
            </w:pPr>
            <w:r>
              <w:rPr>
                <w:sz w:val="20"/>
              </w:rPr>
              <w:t>Concretude: projetos com nome (Enfermería, un curso técnico), não intenções vagas.</w:t>
            </w:r>
          </w:p>
          <w:p>
            <w:pPr>
              <w:spacing w:after="40"/>
            </w:pPr>
            <w:r>
              <w:rPr>
                <w:sz w:val="20"/>
              </w:rPr>
              <w:t>Incerteza assumida: quem conta o próprio futuro raramente afirma tudo com certeza absoluta.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i/>
          <w:color w:val="D1543C"/>
          <w:sz w:val="19"/>
        </w:rPr>
        <w:t>Um relato pessoal NÃO é uma lista de frases sobre o futuro nem uma dissertação sobre “a importância de ter um projeto de vida”.</w:t>
      </w:r>
    </w:p>
    <w:p>
      <w:r>
        <w:br w:type="page"/>
      </w:r>
    </w:p>
    <w:p>
      <w:pPr>
        <w:spacing w:before="360" w:after="80"/>
      </w:pPr>
      <w:r>
        <w:rPr>
          <w:b/>
          <w:color w:val="1F7A78"/>
          <w:sz w:val="30"/>
        </w:rPr>
        <w:t xml:space="preserve">5  </w:t>
      </w:r>
      <w:r>
        <w:rPr>
          <w:b/>
          <w:color w:val="1B2A4A"/>
          <w:sz w:val="30"/>
        </w:rPr>
        <w:t>Léxico: sem palavras não há projeto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18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20"/>
              </w:rPr>
              <w:t>Formación</w:t>
            </w:r>
          </w:p>
        </w:tc>
        <w:tc>
          <w:tcPr>
            <w:tcW w:type="dxa" w:w="3118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20"/>
              </w:rPr>
              <w:t>Trabajo</w:t>
            </w:r>
          </w:p>
        </w:tc>
        <w:tc>
          <w:tcPr>
            <w:tcW w:type="dxa" w:w="3175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20"/>
              </w:rPr>
              <w:t>Vida personal y proyectos</w:t>
            </w:r>
          </w:p>
        </w:tc>
      </w:tr>
      <w:tr>
        <w:tc>
          <w:tcPr>
            <w:tcW w:type="dxa" w:w="3118"/>
          </w:tcPr>
          <w:p>
            <w:pPr>
              <w:spacing w:after="40" w:before="40"/>
            </w:pPr>
            <w:r/>
            <w:r>
              <w:rPr>
                <w:sz w:val="20"/>
              </w:rPr>
              <w:t>terminar el colegio</w:t>
              <w:br/>
              <w:t>estudiar una carrera</w:t>
              <w:br/>
              <w:t>entrar en la universidad</w:t>
              <w:br/>
              <w:t>hacer un curso técnico</w:t>
              <w:br/>
              <w:t>rendir / presentar un examen</w:t>
              <w:br/>
              <w:t>sacar el título</w:t>
              <w:br/>
              <w:t>seguir aprendiendo</w:t>
            </w:r>
          </w:p>
        </w:tc>
        <w:tc>
          <w:tcPr>
            <w:tcW w:type="dxa" w:w="3118"/>
          </w:tcPr>
          <w:p>
            <w:pPr>
              <w:spacing w:after="40" w:before="40"/>
            </w:pPr>
            <w:r/>
            <w:r>
              <w:rPr>
                <w:sz w:val="20"/>
              </w:rPr>
              <w:t>conseguir / buscar empleo</w:t>
              <w:br/>
              <w:t>trabajar como (enfermera)</w:t>
              <w:br/>
              <w:t>trabajar en (un hospital)</w:t>
              <w:br/>
              <w:t>ahorrar dinero</w:t>
              <w:br/>
              <w:t>montar mi propio negocio</w:t>
              <w:br/>
              <w:t>tener mi propio proyecto</w:t>
              <w:br/>
              <w:t>ganarme la vida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sz w:val="20"/>
              </w:rPr>
              <w:t>vivir solo/a</w:t>
              <w:br/>
              <w:t>mudarme a otra ciudad</w:t>
              <w:br/>
              <w:t>viajar</w:t>
              <w:br/>
              <w:t>formar una familia</w:t>
              <w:br/>
              <w:t>volver a mi ciudad</w:t>
              <w:br/>
              <w:t>ayudar a mi familia</w:t>
              <w:br/>
              <w:t>quedarme cerca de los míos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BEAE5"/>
          </w:tcPr>
          <w:p>
            <w:pPr>
              <w:spacing w:after="60"/>
            </w:pPr>
            <w:r/>
            <w:r>
              <w:rPr>
                <w:b/>
                <w:color w:val="D1543C"/>
                <w:sz w:val="18"/>
              </w:rPr>
              <w:t>FALSOS AMIGOS E ARMADILHAS FREQUENTES</w:t>
            </w:r>
          </w:p>
          <w:p>
            <w:pPr>
              <w:spacing w:after="40"/>
            </w:pPr>
            <w:r>
              <w:rPr>
                <w:sz w:val="20"/>
              </w:rPr>
              <w:t>«la carrera» é o CURSO SUPERIOR, não “a carreira profissional”.</w:t>
            </w:r>
          </w:p>
          <w:p>
            <w:pPr>
              <w:spacing w:after="40"/>
            </w:pPr>
            <w:r>
              <w:rPr>
                <w:sz w:val="20"/>
              </w:rPr>
              <w:t>«el colegio» é a escola de educação básica/média, não a universidade.</w:t>
            </w:r>
          </w:p>
          <w:p>
            <w:pPr>
              <w:spacing w:after="40"/>
            </w:pPr>
            <w:r>
              <w:rPr>
                <w:sz w:val="20"/>
              </w:rPr>
              <w:t>Diz-se «trabajar COMO enfermera» (profissão) e «trabajar EN un hospital» (lugar).</w:t>
            </w:r>
          </w:p>
          <w:p>
            <w:pPr>
              <w:spacing w:after="40"/>
            </w:pPr>
            <w:r>
              <w:rPr>
                <w:sz w:val="20"/>
              </w:rPr>
              <w:t>«aplicar a una universidad» é decalque do inglês; em espanhol: presentarse, postularse, rendir el examen de ingreso.</w:t>
            </w:r>
          </w:p>
          <w:p>
            <w:pPr>
              <w:spacing w:after="40"/>
            </w:pPr>
            <w:r>
              <w:rPr>
                <w:sz w:val="20"/>
              </w:rPr>
              <w:t>«suceso» é acontecimento, não “sucesso” (êxito).</w:t>
            </w:r>
          </w:p>
        </w:tc>
      </w:tr>
    </w:tbl>
    <w:p>
      <w:pPr>
        <w:spacing w:after="40"/>
      </w:pPr>
    </w:p>
    <w:p>
      <w:pPr>
        <w:spacing w:before="360" w:after="80"/>
      </w:pPr>
      <w:r>
        <w:rPr>
          <w:b/>
          <w:color w:val="1F7A78"/>
          <w:sz w:val="30"/>
        </w:rPr>
        <w:t xml:space="preserve">6  </w:t>
      </w:r>
      <w:r>
        <w:rPr>
          <w:b/>
          <w:color w:val="1B2A4A"/>
          <w:sz w:val="30"/>
        </w:rPr>
        <w:t>Marcadores temporais: o futuro tem distâncias</w:t>
      </w:r>
    </w:p>
    <w:p>
      <w:pPr>
        <w:spacing w:after="120"/>
      </w:pPr>
      <w:r>
        <w:rPr>
          <w:i w:val="0"/>
          <w:sz w:val="22"/>
        </w:rPr>
        <w:t>São eles que dizem ao leitor quando e, sobretudo, quão longe está cada projeto. Sem marcadores, um relato de futuro vira uma sequência de frases desconexas.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1814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Distância</w:t>
            </w:r>
          </w:p>
        </w:tc>
        <w:tc>
          <w:tcPr>
            <w:tcW w:type="dxa" w:w="3402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Marcadores</w:t>
            </w:r>
          </w:p>
        </w:tc>
        <w:tc>
          <w:tcPr>
            <w:tcW w:type="dxa" w:w="4195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Ejemplo</w:t>
            </w:r>
          </w:p>
        </w:tc>
      </w:tr>
      <w:tr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sz w:val="19"/>
              </w:rPr>
              <w:t>Imediata</w:t>
            </w:r>
          </w:p>
        </w:tc>
        <w:tc>
          <w:tcPr>
            <w:tcW w:type="dxa" w:w="3402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mañana · esta semana · este fin de semana</w:t>
            </w:r>
          </w:p>
        </w:tc>
        <w:tc>
          <w:tcPr>
            <w:tcW w:type="dxa" w:w="4195"/>
          </w:tcPr>
          <w:p>
            <w:pPr>
              <w:spacing w:after="40" w:before="40"/>
            </w:pPr>
            <w:r/>
            <w:r>
              <w:rPr>
                <w:sz w:val="19"/>
              </w:rPr>
              <w:t>Este fin de semana voy a buscar información sobre becas.</w:t>
            </w:r>
          </w:p>
        </w:tc>
      </w:tr>
      <w:tr>
        <w:tc>
          <w:tcPr>
            <w:tcW w:type="dxa" w:w="1814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Próxima</w:t>
            </w:r>
          </w:p>
        </w:tc>
        <w:tc>
          <w:tcPr>
            <w:tcW w:type="dxa" w:w="3402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el año que viene · el próximo año · después del colegio</w:t>
            </w:r>
          </w:p>
        </w:tc>
        <w:tc>
          <w:tcPr>
            <w:tcW w:type="dxa" w:w="4195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El año que viene voy a estudiar Enfermería.</w:t>
            </w:r>
          </w:p>
        </w:tc>
      </w:tr>
      <w:tr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sz w:val="19"/>
              </w:rPr>
              <w:t>Média</w:t>
            </w:r>
          </w:p>
        </w:tc>
        <w:tc>
          <w:tcPr>
            <w:tcW w:type="dxa" w:w="3402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dentro de dos / cinco años · en unos años</w:t>
            </w:r>
          </w:p>
        </w:tc>
        <w:tc>
          <w:tcPr>
            <w:tcW w:type="dxa" w:w="4195"/>
          </w:tcPr>
          <w:p>
            <w:pPr>
              <w:spacing w:after="40" w:before="40"/>
            </w:pPr>
            <w:r/>
            <w:r>
              <w:rPr>
                <w:sz w:val="19"/>
              </w:rPr>
              <w:t>Dentro de cinco años tendré más experiencia.</w:t>
            </w:r>
          </w:p>
        </w:tc>
      </w:tr>
      <w:tr>
        <w:tc>
          <w:tcPr>
            <w:tcW w:type="dxa" w:w="1814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Distante / indefinida</w:t>
            </w:r>
          </w:p>
        </w:tc>
        <w:tc>
          <w:tcPr>
            <w:tcW w:type="dxa" w:w="3402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en el futuro · algún día · más adelante</w:t>
            </w:r>
          </w:p>
        </w:tc>
        <w:tc>
          <w:tcPr>
            <w:tcW w:type="dxa" w:w="4195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Algún día tendré mi propio proyecto.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i w:val="0"/>
          <w:color w:val="555F66"/>
          <w:sz w:val="19"/>
        </w:rPr>
        <w:t>Posição: costumam abrir a frase, mas podem vir depois do verbo (Estudiaré Enfermería el año que viene). O que muda é a ênfase.</w:t>
      </w:r>
    </w:p>
    <w:p>
      <w:r>
        <w:br w:type="page"/>
      </w:r>
    </w:p>
    <w:p>
      <w:pPr>
        <w:spacing w:before="360" w:after="80"/>
      </w:pPr>
      <w:r>
        <w:rPr>
          <w:b/>
          <w:color w:val="1F7A78"/>
          <w:sz w:val="30"/>
        </w:rPr>
        <w:t xml:space="preserve">7  </w:t>
      </w:r>
      <w:r>
        <w:rPr>
          <w:b/>
          <w:color w:val="1B2A4A"/>
          <w:sz w:val="30"/>
        </w:rPr>
        <w:t>Síntese gramatical: futuro simples regular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1404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escubramos_el_futur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40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55F66"/>
          <w:sz w:val="17"/>
        </w:rPr>
        <w:t>Aula 2: as formas de futuro são descobertas dentro de testemunhos já compreendidos.</w:t>
      </w:r>
    </w:p>
    <w:p>
      <w:pPr>
        <w:spacing w:after="120"/>
      </w:pPr>
      <w:r>
        <w:rPr>
          <w:i w:val="0"/>
          <w:sz w:val="22"/>
        </w:rPr>
        <w:t>No futuro simples do espanhol, a terminação é acrescentada ao INFINITIVO COMPLETO. Nada é cortado do verbo. Por isso a regularidade é a mesma para verbos terminados em -ar, -er e -ir — é o único tempo com uma tabela só para as três conjugações.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2268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1814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estudiar</w:t>
            </w:r>
          </w:p>
        </w:tc>
        <w:tc>
          <w:tcPr>
            <w:tcW w:type="dxa" w:w="1701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comer</w:t>
            </w:r>
          </w:p>
        </w:tc>
        <w:tc>
          <w:tcPr>
            <w:tcW w:type="dxa" w:w="1701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vivir</w:t>
            </w:r>
          </w:p>
        </w:tc>
        <w:tc>
          <w:tcPr>
            <w:tcW w:type="dxa" w:w="1928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terminación</w:t>
            </w:r>
          </w:p>
        </w:tc>
      </w:tr>
      <w:tr>
        <w:tc>
          <w:tcPr>
            <w:tcW w:type="dxa" w:w="2268"/>
          </w:tcPr>
          <w:p>
            <w:pPr>
              <w:spacing w:after="40" w:before="40"/>
            </w:pPr>
            <w:r/>
            <w:r>
              <w:rPr>
                <w:sz w:val="19"/>
              </w:rPr>
              <w:t>yo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estudiaré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comeré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viviré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-é</w:t>
            </w:r>
          </w:p>
        </w:tc>
      </w:tr>
      <w:tr>
        <w:tc>
          <w:tcPr>
            <w:tcW w:type="dxa" w:w="2268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tú / vos</w:t>
            </w:r>
          </w:p>
        </w:tc>
        <w:tc>
          <w:tcPr>
            <w:tcW w:type="dxa" w:w="1814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estudiarás</w:t>
            </w:r>
          </w:p>
        </w:tc>
        <w:tc>
          <w:tcPr>
            <w:tcW w:type="dxa" w:w="1701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comerás</w:t>
            </w:r>
          </w:p>
        </w:tc>
        <w:tc>
          <w:tcPr>
            <w:tcW w:type="dxa" w:w="1701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vivirás</w:t>
            </w:r>
          </w:p>
        </w:tc>
        <w:tc>
          <w:tcPr>
            <w:tcW w:type="dxa" w:w="1928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-ás</w:t>
            </w:r>
          </w:p>
        </w:tc>
      </w:tr>
      <w:tr>
        <w:tc>
          <w:tcPr>
            <w:tcW w:type="dxa" w:w="2268"/>
          </w:tcPr>
          <w:p>
            <w:pPr>
              <w:spacing w:after="40" w:before="40"/>
            </w:pPr>
            <w:r/>
            <w:r>
              <w:rPr>
                <w:sz w:val="19"/>
              </w:rPr>
              <w:t>él / ella / usted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estudiará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comerá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vivirá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-á</w:t>
            </w:r>
          </w:p>
        </w:tc>
      </w:tr>
      <w:tr>
        <w:tc>
          <w:tcPr>
            <w:tcW w:type="dxa" w:w="2268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nosotros/as</w:t>
            </w:r>
          </w:p>
        </w:tc>
        <w:tc>
          <w:tcPr>
            <w:tcW w:type="dxa" w:w="1814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estudiaremos</w:t>
            </w:r>
          </w:p>
        </w:tc>
        <w:tc>
          <w:tcPr>
            <w:tcW w:type="dxa" w:w="1701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comeremos</w:t>
            </w:r>
          </w:p>
        </w:tc>
        <w:tc>
          <w:tcPr>
            <w:tcW w:type="dxa" w:w="1701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viviremos</w:t>
            </w:r>
          </w:p>
        </w:tc>
        <w:tc>
          <w:tcPr>
            <w:tcW w:type="dxa" w:w="1928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-emos</w:t>
            </w:r>
          </w:p>
        </w:tc>
      </w:tr>
      <w:tr>
        <w:tc>
          <w:tcPr>
            <w:tcW w:type="dxa" w:w="2268"/>
          </w:tcPr>
          <w:p>
            <w:pPr>
              <w:spacing w:after="40" w:before="40"/>
            </w:pPr>
            <w:r/>
            <w:r>
              <w:rPr>
                <w:sz w:val="19"/>
              </w:rPr>
              <w:t>vosotros/as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estudiaréis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comeréis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viviréis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-éis</w:t>
            </w:r>
          </w:p>
        </w:tc>
      </w:tr>
      <w:tr>
        <w:tc>
          <w:tcPr>
            <w:tcW w:type="dxa" w:w="2268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ellos / ellas / ustedes</w:t>
            </w:r>
          </w:p>
        </w:tc>
        <w:tc>
          <w:tcPr>
            <w:tcW w:type="dxa" w:w="1814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estudiarán</w:t>
            </w:r>
          </w:p>
        </w:tc>
        <w:tc>
          <w:tcPr>
            <w:tcW w:type="dxa" w:w="1701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comerán</w:t>
            </w:r>
          </w:p>
        </w:tc>
        <w:tc>
          <w:tcPr>
            <w:tcW w:type="dxa" w:w="1701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vivirán</w:t>
            </w:r>
          </w:p>
        </w:tc>
        <w:tc>
          <w:tcPr>
            <w:tcW w:type="dxa" w:w="1928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-án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BEAE5"/>
          </w:tcPr>
          <w:p>
            <w:pPr>
              <w:spacing w:after="60"/>
            </w:pPr>
            <w:r/>
            <w:r>
              <w:rPr>
                <w:b/>
                <w:color w:val="D1543C"/>
                <w:sz w:val="18"/>
              </w:rPr>
              <w:t>ACENTUAÇÃO NÃO É DETALHE</w:t>
            </w:r>
          </w:p>
          <w:p>
            <w:pPr>
              <w:spacing w:after="40"/>
            </w:pPr>
            <w:r>
              <w:rPr>
                <w:sz w:val="20"/>
              </w:rPr>
              <w:t>Todas as formas levam acento gráfico, EXCETO a de nosotros: estudiaremos.</w:t>
            </w:r>
          </w:p>
          <w:p>
            <w:pPr>
              <w:spacing w:after="40"/>
            </w:pPr>
            <w:r>
              <w:rPr>
                <w:sz w:val="20"/>
              </w:rPr>
              <w:t>Sem o acento, a palavra deixa de ser futuro: «hablara» não é «hablará».</w:t>
            </w:r>
          </w:p>
          <w:p>
            <w:pPr>
              <w:spacing w:after="40"/>
            </w:pPr>
            <w:r>
              <w:rPr>
                <w:sz w:val="20"/>
              </w:rPr>
              <w:t>A diferença entre o seu projeto e o de outra pessoa pode ser uma vogal: estudiaré (yo) × estudiará (ella).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i w:val="0"/>
          <w:sz w:val="20"/>
        </w:rPr>
        <w:t>Para que serve: o futuro simples expressa projeção, expectativa, previsão, promessa e compromisso. Também expressa suposição sobre o presente (—¿Dónde está Ana? —Estará en casa), uso que o estudante reconhecerá na leitura sem precisar produzi-lo neste bloco.</w:t>
      </w:r>
    </w:p>
    <w:p>
      <w:pPr>
        <w:spacing w:before="360" w:after="80"/>
      </w:pPr>
      <w:r>
        <w:rPr>
          <w:b/>
          <w:color w:val="1F7A78"/>
          <w:sz w:val="30"/>
        </w:rPr>
        <w:t xml:space="preserve">8  </w:t>
      </w:r>
      <w:r>
        <w:rPr>
          <w:b/>
          <w:color w:val="1B2A4A"/>
          <w:sz w:val="30"/>
        </w:rPr>
        <w:t>Síntese gramatical: irregulares de raiz</w:t>
      </w:r>
    </w:p>
    <w:p>
      <w:pPr>
        <w:spacing w:after="120"/>
      </w:pPr>
      <w:r>
        <w:rPr>
          <w:i w:val="0"/>
          <w:sz w:val="22"/>
        </w:rPr>
        <w:t>Nos irregulares, as terminações continuam exatamente as mesmas. O que muda é a raiz. Não são verbos com conjugação nova — são três padrões de alteração.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2835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Grupo</w:t>
            </w:r>
          </w:p>
        </w:tc>
        <w:tc>
          <w:tcPr>
            <w:tcW w:type="dxa" w:w="3175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Padrão</w:t>
            </w:r>
          </w:p>
        </w:tc>
        <w:tc>
          <w:tcPr>
            <w:tcW w:type="dxa" w:w="3402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Formas úteis (yo)</w:t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19"/>
              </w:rPr>
              <w:t>1 · Raiz reduzida (cai a vogal)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cabr- / habr- / podr- / querr- / sabr-</w:t>
            </w:r>
          </w:p>
        </w:tc>
        <w:tc>
          <w:tcPr>
            <w:tcW w:type="dxa" w:w="3402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cabré, habrá, podré, querré, sabré</w:t>
            </w:r>
          </w:p>
        </w:tc>
      </w:tr>
      <w:tr>
        <w:tc>
          <w:tcPr>
            <w:tcW w:type="dxa" w:w="2835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2 · Entra -d-</w:t>
            </w:r>
          </w:p>
        </w:tc>
        <w:tc>
          <w:tcPr>
            <w:tcW w:type="dxa" w:w="3175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tendr- / pondr- / saldr- / vendr-</w:t>
            </w:r>
          </w:p>
        </w:tc>
        <w:tc>
          <w:tcPr>
            <w:tcW w:type="dxa" w:w="3402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tendré, pondré, saldré, vendré</w:t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/>
            <w:r>
              <w:rPr>
                <w:sz w:val="19"/>
              </w:rPr>
              <w:t>3 · Raiz própria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har- / dir-</w:t>
            </w:r>
          </w:p>
        </w:tc>
        <w:tc>
          <w:tcPr>
            <w:tcW w:type="dxa" w:w="3402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haré, diré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i w:val="0"/>
          <w:sz w:val="20"/>
        </w:rPr>
        <w:t>Quem entende o padrão acerta também os derivados: obtener → obtendré · mantener → mantendré · deshacer → desharé · componer → compondré.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E4EFEE"/>
          </w:tcPr>
          <w:p>
            <w:pPr>
              <w:spacing w:after="60"/>
            </w:pPr>
            <w:r/>
            <w:r>
              <w:rPr>
                <w:b/>
                <w:color w:val="1F7A78"/>
                <w:sz w:val="18"/>
              </w:rPr>
              <w:t>PRIORIDADE DE ENSINO</w:t>
            </w:r>
          </w:p>
          <w:p>
            <w:pPr>
              <w:spacing w:after="40"/>
            </w:pPr>
            <w:r>
              <w:rPr>
                <w:sz w:val="20"/>
              </w:rPr>
              <w:t>Os cinco que os estudantes realmente vão usar no próprio texto: tendré · podré · haré · querré · saldré.</w:t>
            </w:r>
          </w:p>
          <w:p>
            <w:pPr>
              <w:spacing w:after="40"/>
            </w:pPr>
            <w:r>
              <w:rPr>
                <w:sz w:val="20"/>
              </w:rPr>
              <w:t>Erros previsíveis, e por isso evitáveis: “teneré”, “haceré”, “poderé”, “saliré” (com sentido de futuro).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80"/>
      </w:pPr>
      <w:r>
        <w:rPr>
          <w:b/>
          <w:color w:val="1F7A78"/>
          <w:sz w:val="30"/>
        </w:rPr>
        <w:t xml:space="preserve">9  </w:t>
      </w:r>
      <w:r>
        <w:rPr>
          <w:b/>
          <w:color w:val="1B2A4A"/>
          <w:sz w:val="30"/>
        </w:rPr>
        <w:t>Ir a + infinitivo × futuro simples: escolha, não sinônimo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580000" cy="31404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mi_camino_mis_decision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404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55F66"/>
          <w:sz w:val="17"/>
        </w:rPr>
        <w:t>Aula 3: cada forma verbal apresenta o projeto com um grau diferente de concretude.</w:t>
      </w:r>
    </w:p>
    <w:p>
      <w:pPr>
        <w:spacing w:after="120"/>
      </w:pPr>
      <w:r>
        <w:rPr>
          <w:sz w:val="22"/>
        </w:rPr>
        <w:t xml:space="preserve">As duas formas podem falar de futuro, mas não devem ser tratadas como cópias uma da outra — e a diferença </w:t>
      </w:r>
      <w:r>
        <w:rPr>
          <w:b/>
          <w:sz w:val="22"/>
        </w:rPr>
        <w:t>não é “informal × formal”</w:t>
      </w:r>
      <w:r>
        <w:rPr>
          <w:sz w:val="22"/>
        </w:rPr>
        <w:t>. O que muda é como o falante apresenta aquilo que projeta.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2041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Formulação</w:t>
            </w:r>
          </w:p>
        </w:tc>
        <w:tc>
          <w:tcPr>
            <w:tcW w:type="dxa" w:w="3628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O que o falante sinaliza</w:t>
            </w:r>
          </w:p>
        </w:tc>
        <w:tc>
          <w:tcPr>
            <w:tcW w:type="dxa" w:w="3742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9"/>
              </w:rPr>
              <w:t>Ejemplo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voy a + infinitivo</w:t>
            </w:r>
          </w:p>
        </w:tc>
        <w:tc>
          <w:tcPr>
            <w:tcW w:type="dxa" w:w="3628"/>
          </w:tcPr>
          <w:p>
            <w:pPr>
              <w:spacing w:after="40" w:before="40"/>
            </w:pPr>
            <w:r/>
            <w:r>
              <w:rPr>
                <w:sz w:val="19"/>
              </w:rPr>
              <w:t>Intenção decidida, projeto encaminhado, ação próxima e concreta.</w:t>
            </w:r>
          </w:p>
        </w:tc>
        <w:tc>
          <w:tcPr>
            <w:tcW w:type="dxa" w:w="3742"/>
          </w:tcPr>
          <w:p>
            <w:pPr>
              <w:spacing w:after="40" w:before="40"/>
            </w:pPr>
            <w:r/>
            <w:r>
              <w:rPr>
                <w:sz w:val="19"/>
              </w:rPr>
              <w:t>Ya me inscribí. En febrero voy a estudiar Diseño Gráfico.</w:t>
            </w:r>
          </w:p>
        </w:tc>
      </w:tr>
      <w:tr>
        <w:tc>
          <w:tcPr>
            <w:tcW w:type="dxa" w:w="2041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voy a + infinitivo</w:t>
            </w:r>
          </w:p>
        </w:tc>
        <w:tc>
          <w:tcPr>
            <w:tcW w:type="dxa" w:w="3628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Plano imediato, quase agendado.</w:t>
            </w:r>
          </w:p>
        </w:tc>
        <w:tc>
          <w:tcPr>
            <w:tcW w:type="dxa" w:w="3742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Este fin de semana voy a buscar información sobre becas.</w:t>
            </w:r>
          </w:p>
        </w:tc>
      </w:tr>
      <w:tr>
        <w:tc>
          <w:tcPr>
            <w:tcW w:type="dxa" w:w="2041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futuro simples</w:t>
            </w:r>
          </w:p>
        </w:tc>
        <w:tc>
          <w:tcPr>
            <w:tcW w:type="dxa" w:w="3628"/>
          </w:tcPr>
          <w:p>
            <w:pPr>
              <w:spacing w:after="40" w:before="40"/>
            </w:pPr>
            <w:r/>
            <w:r>
              <w:rPr>
                <w:sz w:val="19"/>
              </w:rPr>
              <w:t>Projeção, expectativa, promessa, compromisso, visão global do futuro.</w:t>
            </w:r>
          </w:p>
        </w:tc>
        <w:tc>
          <w:tcPr>
            <w:tcW w:type="dxa" w:w="3742"/>
          </w:tcPr>
          <w:p>
            <w:pPr>
              <w:spacing w:after="40" w:before="40"/>
            </w:pPr>
            <w:r/>
            <w:r>
              <w:rPr>
                <w:sz w:val="19"/>
              </w:rPr>
              <w:t>Estudiaré y trabajaré para ayudar a mi familia.</w:t>
            </w:r>
          </w:p>
        </w:tc>
      </w:tr>
      <w:tr>
        <w:tc>
          <w:tcPr>
            <w:tcW w:type="dxa" w:w="2041"/>
            <w:shd w:val="clear" w:fill="F4F1EA"/>
          </w:tcPr>
          <w:p>
            <w:pPr>
              <w:spacing w:after="40" w:before="40"/>
            </w:pPr>
            <w:r/>
            <w:r>
              <w:rPr>
                <w:rFonts w:ascii="Consolas" w:hAnsi="Consolas"/>
                <w:b/>
                <w:color w:val="1F7A78"/>
                <w:sz w:val="19"/>
              </w:rPr>
              <w:t>futuro simples</w:t>
            </w:r>
          </w:p>
        </w:tc>
        <w:tc>
          <w:tcPr>
            <w:tcW w:type="dxa" w:w="3628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Projeção mais distante ou indefinida.</w:t>
            </w:r>
          </w:p>
        </w:tc>
        <w:tc>
          <w:tcPr>
            <w:tcW w:type="dxa" w:w="3742"/>
            <w:shd w:val="clear" w:fill="F4F1EA"/>
          </w:tcPr>
          <w:p>
            <w:pPr>
              <w:spacing w:after="40" w:before="40"/>
            </w:pPr>
            <w:r/>
            <w:r>
              <w:rPr>
                <w:sz w:val="19"/>
              </w:rPr>
              <w:t>Algún día viviré en otro país.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BEAE5"/>
          </w:tcPr>
          <w:p>
            <w:pPr>
              <w:spacing w:after="60"/>
            </w:pPr>
            <w:r/>
            <w:r>
              <w:rPr>
                <w:b/>
                <w:color w:val="D1543C"/>
                <w:sz w:val="18"/>
              </w:rPr>
              <w:t>PREFERÊNCIA CONTEXTUAL, NÃO CERTO × ERRADO</w:t>
            </w:r>
          </w:p>
          <w:p>
            <w:pPr>
              <w:spacing w:after="40"/>
            </w:pPr>
            <w:r>
              <w:rPr>
                <w:sz w:val="20"/>
              </w:rPr>
              <w:t>Ir a + infinitivo é forma PLENA de futuro em todo o mundo hispânico — inclusive com projetos distantes (Algún día voy a tener mi propio taller). Não é uma versão informal do futuro simples.</w:t>
            </w:r>
          </w:p>
          <w:p>
            <w:pPr>
              <w:spacing w:after="40"/>
            </w:pPr>
            <w:r>
              <w:rPr>
                <w:sz w:val="20"/>
              </w:rPr>
              <w:t>Portanto: não ensine “marcador distante ⇒ futuro simples” como oposição rígida. Trabalhe tendência e escolha preferencial, e aceite a outra forma quando o estudante a justificar.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E4EFEE"/>
          </w:tcPr>
          <w:p>
            <w:pPr>
              <w:spacing w:after="60"/>
            </w:pPr>
            <w:r/>
            <w:r>
              <w:rPr>
                <w:b/>
                <w:color w:val="1F7A78"/>
                <w:sz w:val="18"/>
              </w:rPr>
              <w:t>VARIEDADE E FREQUÊNCIA — É AQUI QUE A BNCC SE SUSTENTA</w:t>
            </w:r>
          </w:p>
          <w:p>
            <w:pPr>
              <w:spacing w:after="40"/>
            </w:pPr>
            <w:r>
              <w:rPr>
                <w:sz w:val="20"/>
              </w:rPr>
              <w:t>A preferência entre as duas formas varia conforme a situação comunicativa e a variedade do espanhol.</w:t>
            </w:r>
          </w:p>
          <w:p>
            <w:pPr>
              <w:spacing w:after="40"/>
            </w:pPr>
            <w:r>
              <w:rPr>
                <w:sz w:val="20"/>
              </w:rPr>
              <w:t>Em boa parte da América Latina a perífrase domina a fala cotidiana; o futuro simples é muito produtivo na escrita, em previsões, promessas e projeções.</w:t>
            </w:r>
          </w:p>
          <w:p>
            <w:pPr>
              <w:spacing w:after="40"/>
            </w:pPr>
            <w:r>
              <w:rPr>
                <w:sz w:val="20"/>
              </w:rPr>
              <w:t>Nenhuma das duas é “a correta”. A pergunta certa é: qual delas diz o que eu quero dizer, para este interlocutor, neste texto? (EM13LGG401 · EM13LGG402)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b/>
          <w:color w:val="1F7A78"/>
          <w:sz w:val="24"/>
        </w:rPr>
        <w:t>Expressão útil, com cuidado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BEAE5"/>
          </w:tcPr>
          <w:p>
            <w:pPr>
              <w:spacing w:after="60"/>
            </w:pPr>
            <w:r/>
            <w:r>
              <w:rPr>
                <w:b/>
                <w:color w:val="D1543C"/>
                <w:sz w:val="18"/>
              </w:rPr>
              <w:t>CUANDO TERMINE EL COLEGIO…</w:t>
            </w:r>
          </w:p>
          <w:p>
            <w:pPr>
              <w:spacing w:after="40"/>
            </w:pPr>
            <w:r>
              <w:rPr>
                <w:sz w:val="20"/>
              </w:rPr>
              <w:t>Pode ser oferecida como fórmula fixa por enquanto, exatamente como está escrita.</w:t>
            </w:r>
          </w:p>
          <w:p>
            <w:pPr>
              <w:spacing w:after="40"/>
            </w:pPr>
            <w:r>
              <w:rPr>
                <w:sz w:val="20"/>
              </w:rPr>
              <w:t>Não cobrar explicação de presente do subjuntivo neste bloco — a estrutura será estudada mais adiante.</w:t>
            </w:r>
          </w:p>
          <w:p>
            <w:pPr>
              <w:spacing w:after="40"/>
            </w:pPr>
            <w:r>
              <w:rPr>
                <w:sz w:val="20"/>
              </w:rPr>
              <w:t>Assim não se ensina subjuntivo clandestinamente, mas também não se empobrece um começo natural em espanhol.</w:t>
            </w:r>
          </w:p>
        </w:tc>
      </w:tr>
    </w:tbl>
    <w:p>
      <w:pPr>
        <w:spacing w:after="40"/>
      </w:pPr>
    </w:p>
    <w:p>
      <w:pPr>
        <w:spacing w:before="360" w:after="80"/>
      </w:pPr>
      <w:r>
        <w:rPr>
          <w:b/>
          <w:color w:val="1F7A78"/>
          <w:sz w:val="30"/>
        </w:rPr>
        <w:t xml:space="preserve">10  </w:t>
      </w:r>
      <w:r>
        <w:rPr>
          <w:b/>
          <w:color w:val="1B2A4A"/>
          <w:sz w:val="30"/>
        </w:rPr>
        <w:t>Banco de aberturas para a produção</w:t>
      </w:r>
    </w:p>
    <w:p>
      <w:pPr>
        <w:spacing w:after="120"/>
      </w:pPr>
      <w:r>
        <w:rPr>
          <w:i w:val="0"/>
          <w:sz w:val="20"/>
        </w:rPr>
        <w:t>Aberturas que não obrigam o estudante a dominar o subjuntivo antes da hora:</w:t>
      </w:r>
    </w:p>
    <w:p>
      <w:pPr>
        <w:pStyle w:val="ListBullet"/>
        <w:spacing w:after="60"/>
      </w:pPr>
      <w:r>
        <w:rPr>
          <w:sz w:val="22"/>
        </w:rPr>
        <w:t>El año que viene…</w:t>
      </w:r>
    </w:p>
    <w:p>
      <w:pPr>
        <w:pStyle w:val="ListBullet"/>
        <w:spacing w:after="60"/>
      </w:pPr>
      <w:r>
        <w:rPr>
          <w:sz w:val="22"/>
        </w:rPr>
        <w:t>Después del colegio…</w:t>
      </w:r>
    </w:p>
    <w:p>
      <w:pPr>
        <w:pStyle w:val="ListBullet"/>
        <w:spacing w:after="60"/>
      </w:pPr>
      <w:r>
        <w:rPr>
          <w:sz w:val="22"/>
        </w:rPr>
        <w:t>Al terminar el colegio…</w:t>
      </w:r>
    </w:p>
    <w:p>
      <w:pPr>
        <w:pStyle w:val="ListBullet"/>
        <w:spacing w:after="60"/>
      </w:pPr>
      <w:r>
        <w:rPr>
          <w:sz w:val="22"/>
        </w:rPr>
        <w:t>Dentro de cinco años…</w:t>
      </w:r>
    </w:p>
    <w:p>
      <w:pPr>
        <w:pStyle w:val="ListBullet"/>
        <w:spacing w:after="60"/>
      </w:pPr>
      <w:r>
        <w:rPr>
          <w:sz w:val="22"/>
        </w:rPr>
        <w:t>En el futuro…</w:t>
      </w:r>
    </w:p>
    <w:p>
      <w:pPr>
        <w:pStyle w:val="ListBullet"/>
        <w:spacing w:after="60"/>
      </w:pPr>
      <w:r>
        <w:rPr>
          <w:sz w:val="22"/>
        </w:rPr>
        <w:t>Algún día…</w:t>
      </w:r>
    </w:p>
    <w:p>
      <w:pPr>
        <w:pStyle w:val="ListBullet"/>
        <w:spacing w:after="60"/>
      </w:pPr>
      <w:r>
        <w:rPr>
          <w:sz w:val="22"/>
        </w:rPr>
        <w:t>Cuando termine el colegio… (fórmula fixa)</w:t>
      </w:r>
    </w:p>
    <w:p>
      <w:r>
        <w:br w:type="page"/>
      </w:r>
    </w:p>
    <w:p>
      <w:pPr>
        <w:spacing w:before="360" w:after="80"/>
      </w:pPr>
      <w:r>
        <w:rPr>
          <w:b/>
          <w:color w:val="1F7A78"/>
          <w:sz w:val="30"/>
        </w:rPr>
        <w:t xml:space="preserve">11  </w:t>
      </w:r>
      <w:r>
        <w:rPr>
          <w:b/>
          <w:color w:val="1B2A4A"/>
          <w:sz w:val="30"/>
        </w:rPr>
        <w:t>Critérios e rubrica da produção final</w:t>
      </w:r>
    </w:p>
    <w:p>
      <w:pPr>
        <w:spacing w:after="120"/>
      </w:pPr>
      <w:r>
        <w:rPr>
          <w:i w:val="0"/>
          <w:sz w:val="20"/>
        </w:rPr>
        <w:t>Versão final sugerida: 6 a 8 linhas em espanhol, com título curto e pelo menos três marcadores temporais ou referências de progressão. Total: 10,0 pontos — cinco critérios de 2,0.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928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7"/>
              </w:rPr>
              <w:t>Critério</w:t>
            </w:r>
          </w:p>
        </w:tc>
        <w:tc>
          <w:tcPr>
            <w:tcW w:type="dxa" w:w="2494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7"/>
              </w:rPr>
              <w:t>Bom (2,0)</w:t>
            </w:r>
          </w:p>
        </w:tc>
        <w:tc>
          <w:tcPr>
            <w:tcW w:type="dxa" w:w="2494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7"/>
              </w:rPr>
              <w:t>Suficiente (1,0)</w:t>
            </w:r>
          </w:p>
        </w:tc>
        <w:tc>
          <w:tcPr>
            <w:tcW w:type="dxa" w:w="2494"/>
            <w:shd w:val="clear" w:fill="1B2A4A"/>
          </w:tcPr>
          <w:p>
            <w:pPr>
              <w:spacing w:after="40" w:before="40"/>
            </w:pPr>
            <w:r/>
            <w:r>
              <w:rPr>
                <w:b/>
                <w:color w:val="FFFFFF"/>
                <w:sz w:val="17"/>
              </w:rPr>
              <w:t>Insuficiente (0)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sz w:val="17"/>
              </w:rPr>
              <w:t>Gênero e voz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Funciona como relato pessoal: há um sujeito que fala de si, situa o leitor e fecha o texto.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É reconhecível como relato, mas em parte se aproxima de uma lista.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É uma sequência de frases soltas sobre o futuro.</w:t>
            </w:r>
          </w:p>
        </w:tc>
      </w:tr>
      <w:tr>
        <w:tc>
          <w:tcPr>
            <w:tcW w:type="dxa" w:w="1928"/>
            <w:shd w:val="clear" w:fill="F4F1EA"/>
          </w:tcPr>
          <w:p>
            <w:pPr>
              <w:spacing w:after="40" w:before="40"/>
            </w:pPr>
            <w:r/>
            <w:r>
              <w:rPr>
                <w:sz w:val="17"/>
              </w:rPr>
              <w:t>Organização temporal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7"/>
              </w:rPr>
              <w:t>Marcadores presentes, variados e coerentes; a linha do tempo é clara.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7"/>
              </w:rPr>
              <w:t>Há marcadores, mas repetidos ou pouco claros em algum ponto.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7"/>
              </w:rPr>
              <w:t>Não é possível situar os projetos no tempo.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sz w:val="17"/>
              </w:rPr>
              <w:t>Conteúdo e léxico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Projetos concretos nas áreas trabalhadas, com léxico do campo bem empregado.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Projetos concretos, mas léxico limitado ou restrito a uma área.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Conteúdo genérico; léxico do campo praticamente ausente.</w:t>
            </w:r>
          </w:p>
        </w:tc>
      </w:tr>
      <w:tr>
        <w:tc>
          <w:tcPr>
            <w:tcW w:type="dxa" w:w="1928"/>
            <w:shd w:val="clear" w:fill="F4F1EA"/>
          </w:tcPr>
          <w:p>
            <w:pPr>
              <w:spacing w:after="40" w:before="40"/>
            </w:pPr>
            <w:r/>
            <w:r>
              <w:rPr>
                <w:sz w:val="17"/>
              </w:rPr>
              <w:t>Formas de futuro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7"/>
              </w:rPr>
              <w:t>Futuro simples correto, com acentuação e irregulares adequados.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7"/>
              </w:rPr>
              <w:t>Formas majoritariamente corretas, com falhas de acento ou um irregular.</w:t>
            </w:r>
          </w:p>
        </w:tc>
        <w:tc>
          <w:tcPr>
            <w:tcW w:type="dxa" w:w="2494"/>
            <w:shd w:val="clear" w:fill="F4F1EA"/>
          </w:tcPr>
          <w:p>
            <w:pPr>
              <w:spacing w:after="40" w:before="40"/>
            </w:pPr>
            <w:r/>
            <w:r>
              <w:rPr>
                <w:sz w:val="17"/>
              </w:rPr>
              <w:t>As formas de futuro comprometem a compreensão.</w:t>
            </w:r>
          </w:p>
        </w:tc>
      </w:tr>
      <w:tr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sz w:val="17"/>
              </w:rPr>
              <w:t>Escolha discursiva e articulação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A alternância entre perífrase e futuro simples é coerente; as ideias se ligam.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Uso de uma só forma, ou articulação frouxa entre as ideias.</w:t>
            </w:r>
          </w:p>
        </w:tc>
        <w:tc>
          <w:tcPr>
            <w:tcW w:type="dxa" w:w="2494"/>
          </w:tcPr>
          <w:p>
            <w:pPr>
              <w:spacing w:after="40" w:before="40"/>
            </w:pPr>
            <w:r/>
            <w:r>
              <w:rPr>
                <w:sz w:val="17"/>
              </w:rPr>
              <w:t>Não há articulação; a escolha das formas é aleatória.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E4EFEE"/>
          </w:tcPr>
          <w:p>
            <w:pPr>
              <w:spacing w:after="60"/>
            </w:pPr>
            <w:r/>
            <w:r>
              <w:rPr>
                <w:b/>
                <w:color w:val="1F7A78"/>
                <w:sz w:val="18"/>
              </w:rPr>
              <w:t>NOTA SOBRE VARIEDADES</w:t>
            </w:r>
          </w:p>
          <w:p>
            <w:pPr>
              <w:spacing w:after="40"/>
            </w:pPr>
            <w:r>
              <w:rPr>
                <w:sz w:val="20"/>
              </w:rPr>
              <w:t>Rioplatense, mexicana, andina, caribenha e peninsular são variantes legítimas, não desvios.</w:t>
            </w:r>
          </w:p>
          <w:p>
            <w:pPr>
              <w:spacing w:after="40"/>
            </w:pPr>
            <w:r>
              <w:rPr>
                <w:sz w:val="20"/>
              </w:rPr>
              <w:t>«vos tendrás», «ustedes trabajarán» e «vosotros trabajaréis» convivem sem hierarquia.</w:t>
            </w:r>
          </w:p>
          <w:p>
            <w:pPr>
              <w:spacing w:after="40"/>
            </w:pPr>
            <w:r>
              <w:rPr>
                <w:sz w:val="20"/>
              </w:rPr>
              <w:t>O que se corrige é o que compromete a construção do sentido ou contraria a regra da forma verbal.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F4F1EA"/>
          </w:tcPr>
          <w:p>
            <w:pPr>
              <w:spacing w:after="60"/>
            </w:pPr>
            <w:r/>
            <w:r>
              <w:rPr>
                <w:b/>
                <w:color w:val="1B2A4A"/>
                <w:sz w:val="18"/>
              </w:rPr>
              <w:t>AO DEVOLVER O TEXTO CORRIGIDO</w:t>
            </w:r>
          </w:p>
          <w:p>
            <w:pPr>
              <w:spacing w:after="40"/>
            </w:pPr>
            <w:r>
              <w:rPr>
                <w:sz w:val="20"/>
              </w:rPr>
              <w:t>Distinga com sinais diferentes: erro · variante legítima · sugestão de estilo.</w:t>
            </w:r>
          </w:p>
          <w:p>
            <w:pPr>
              <w:spacing w:after="40"/>
            </w:pPr>
            <w:r>
              <w:rPr>
                <w:sz w:val="20"/>
              </w:rPr>
              <w:t>Não reescreva o texto a ponto de o estudante não reconhecê-lo como seu.</w:t>
            </w:r>
          </w:p>
          <w:p>
            <w:pPr>
              <w:spacing w:after="40"/>
            </w:pPr>
            <w:r>
              <w:rPr>
                <w:sz w:val="20"/>
              </w:rPr>
              <w:t>Faça pelo menos um comentário sobre o conteúdo do projeto de vida, e não apenas sobre a língua. É um testimonio: alguém contou algo.</w:t>
            </w:r>
          </w:p>
        </w:tc>
      </w:tr>
    </w:tbl>
    <w:p>
      <w:pPr>
        <w:spacing w:after="40"/>
      </w:pPr>
    </w:p>
    <w:p/>
    <w:p>
      <w:pPr>
        <w:spacing w:after="120"/>
        <w:jc w:val="center"/>
      </w:pPr>
      <w:r>
        <w:rPr>
          <w:i w:val="0"/>
          <w:color w:val="555F66"/>
          <w:sz w:val="17"/>
        </w:rPr>
        <w:t>Ñ Conecta · HispanoQuest — Bloco 1: Proyectos de Vida y Futuro · Profª. Priscila Gomes Santos · [INSERIR TURMA]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 w:eastAsia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